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920"/>
        <w:tblW w:w="10468" w:type="dxa"/>
        <w:tblLook w:val="01E0" w:firstRow="1" w:lastRow="1" w:firstColumn="1" w:lastColumn="1" w:noHBand="0" w:noVBand="0"/>
      </w:tblPr>
      <w:tblGrid>
        <w:gridCol w:w="10468"/>
      </w:tblGrid>
      <w:tr w:rsidR="002C3A96" w:rsidRPr="00F74678" w:rsidTr="003C598F">
        <w:trPr>
          <w:trHeight w:hRule="exact" w:val="1842"/>
        </w:trPr>
        <w:tc>
          <w:tcPr>
            <w:tcW w:w="10468" w:type="dxa"/>
            <w:shd w:val="clear" w:color="auto" w:fill="auto"/>
          </w:tcPr>
          <w:p w:rsidR="002C3A96" w:rsidRPr="000A5629" w:rsidRDefault="005C6FBE" w:rsidP="002C3A96">
            <w:pPr>
              <w:rPr>
                <w:color w:val="FFFFFF" w:themeColor="background1"/>
                <w:sz w:val="40"/>
                <w:szCs w:val="40"/>
              </w:rPr>
            </w:pPr>
            <w:bookmarkStart w:id="0" w:name="_GoBack"/>
            <w:bookmarkEnd w:id="0"/>
            <w:r>
              <w:rPr>
                <w:color w:val="FFFFFF" w:themeColor="background1"/>
                <w:sz w:val="40"/>
                <w:szCs w:val="40"/>
              </w:rPr>
              <w:t>Independent</w:t>
            </w:r>
            <w:r w:rsidR="002C3A96" w:rsidRPr="000A5629">
              <w:rPr>
                <w:color w:val="FFFFFF" w:themeColor="background1"/>
                <w:sz w:val="40"/>
                <w:szCs w:val="40"/>
              </w:rPr>
              <w:t xml:space="preserve"> investigation into the Lancefield-Cobaw fire</w:t>
            </w:r>
            <w:r>
              <w:rPr>
                <w:color w:val="FFFFFF" w:themeColor="background1"/>
                <w:sz w:val="40"/>
                <w:szCs w:val="40"/>
              </w:rPr>
              <w:t xml:space="preserve">: </w:t>
            </w:r>
            <w:r w:rsidR="0081579C">
              <w:rPr>
                <w:b/>
                <w:color w:val="FFFFFF" w:themeColor="background1"/>
                <w:sz w:val="40"/>
                <w:szCs w:val="40"/>
              </w:rPr>
              <w:t>R</w:t>
            </w:r>
            <w:r w:rsidR="0081579C" w:rsidRPr="003C598F">
              <w:rPr>
                <w:b/>
                <w:color w:val="FFFFFF" w:themeColor="background1"/>
                <w:sz w:val="40"/>
                <w:szCs w:val="40"/>
              </w:rPr>
              <w:t>ecommendations</w:t>
            </w:r>
          </w:p>
          <w:p w:rsidR="002C3A96" w:rsidRPr="00B56ECE" w:rsidRDefault="005C6FBE" w:rsidP="002C3A96">
            <w:pPr>
              <w:pStyle w:val="CertHBWhite"/>
              <w:rPr>
                <w:sz w:val="40"/>
                <w:szCs w:val="40"/>
              </w:rPr>
            </w:pPr>
            <w:r w:rsidRPr="00B56ECE">
              <w:rPr>
                <w:sz w:val="40"/>
                <w:szCs w:val="40"/>
              </w:rPr>
              <w:t>November 2015</w:t>
            </w:r>
          </w:p>
        </w:tc>
      </w:tr>
    </w:tbl>
    <w:p w:rsidR="006964FA" w:rsidRDefault="006964FA" w:rsidP="003C598F">
      <w:pPr>
        <w:pStyle w:val="Body"/>
        <w:spacing w:after="0"/>
        <w:jc w:val="both"/>
        <w:rPr>
          <w:szCs w:val="22"/>
          <w:lang w:val="en-US"/>
        </w:rPr>
      </w:pPr>
    </w:p>
    <w:p w:rsidR="00B37596" w:rsidRDefault="00B37596" w:rsidP="003C598F">
      <w:pPr>
        <w:pStyle w:val="Body"/>
        <w:spacing w:after="0"/>
        <w:jc w:val="both"/>
        <w:rPr>
          <w:szCs w:val="22"/>
          <w:lang w:val="en-US"/>
        </w:rPr>
      </w:pPr>
      <w:r>
        <w:rPr>
          <w:szCs w:val="22"/>
          <w:lang w:val="en-US"/>
        </w:rPr>
        <w:t xml:space="preserve">The </w:t>
      </w:r>
      <w:r w:rsidRPr="00534A55">
        <w:rPr>
          <w:szCs w:val="22"/>
          <w:lang w:val="en-US"/>
        </w:rPr>
        <w:t>D</w:t>
      </w:r>
      <w:r>
        <w:rPr>
          <w:szCs w:val="22"/>
          <w:lang w:val="en-US"/>
        </w:rPr>
        <w:t>epartment of Environment, Land, Water and Planning (D</w:t>
      </w:r>
      <w:r w:rsidRPr="00534A55">
        <w:rPr>
          <w:szCs w:val="22"/>
          <w:lang w:val="en-US"/>
        </w:rPr>
        <w:t>ELWP</w:t>
      </w:r>
      <w:r>
        <w:rPr>
          <w:szCs w:val="22"/>
          <w:lang w:val="en-US"/>
        </w:rPr>
        <w:t>)</w:t>
      </w:r>
      <w:r w:rsidRPr="00534A55">
        <w:rPr>
          <w:szCs w:val="22"/>
          <w:lang w:val="en-US"/>
        </w:rPr>
        <w:t xml:space="preserve"> </w:t>
      </w:r>
      <w:r>
        <w:rPr>
          <w:szCs w:val="22"/>
          <w:lang w:val="en-US"/>
        </w:rPr>
        <w:t xml:space="preserve">has accepted </w:t>
      </w:r>
      <w:r w:rsidRPr="00534A55">
        <w:rPr>
          <w:szCs w:val="22"/>
          <w:lang w:val="en-US"/>
        </w:rPr>
        <w:t xml:space="preserve">all </w:t>
      </w:r>
      <w:r>
        <w:rPr>
          <w:szCs w:val="22"/>
          <w:lang w:val="en-US"/>
        </w:rPr>
        <w:t xml:space="preserve">22 </w:t>
      </w:r>
      <w:r w:rsidRPr="00534A55">
        <w:rPr>
          <w:szCs w:val="22"/>
          <w:lang w:val="en-US"/>
        </w:rPr>
        <w:t>of the recommendations</w:t>
      </w:r>
      <w:r>
        <w:rPr>
          <w:szCs w:val="22"/>
          <w:lang w:val="en-US"/>
        </w:rPr>
        <w:t xml:space="preserve"> from the independent investigation into the Lancefield-Cobaw fire</w:t>
      </w:r>
      <w:r w:rsidRPr="00534A55">
        <w:rPr>
          <w:szCs w:val="22"/>
          <w:lang w:val="en-US"/>
        </w:rPr>
        <w:t>.</w:t>
      </w:r>
      <w:r>
        <w:rPr>
          <w:szCs w:val="22"/>
          <w:lang w:val="en-US"/>
        </w:rPr>
        <w:t xml:space="preserve"> Below is an overview of the</w:t>
      </w:r>
      <w:r w:rsidR="00856888">
        <w:rPr>
          <w:szCs w:val="22"/>
          <w:lang w:val="en-US"/>
        </w:rPr>
        <w:t xml:space="preserve"> </w:t>
      </w:r>
      <w:r>
        <w:rPr>
          <w:szCs w:val="22"/>
          <w:lang w:val="en-US"/>
        </w:rPr>
        <w:t>recommendations.</w:t>
      </w:r>
    </w:p>
    <w:p w:rsidR="0081579C" w:rsidRPr="00534A55" w:rsidRDefault="0081579C" w:rsidP="003C598F">
      <w:pPr>
        <w:pStyle w:val="Body"/>
        <w:spacing w:after="0"/>
        <w:jc w:val="both"/>
        <w:rPr>
          <w:szCs w:val="22"/>
          <w:lang w:val="en-US"/>
        </w:rPr>
      </w:pPr>
    </w:p>
    <w:p w:rsidR="00B37596" w:rsidRPr="003C598F" w:rsidRDefault="00B37596" w:rsidP="003C598F">
      <w:pPr>
        <w:pStyle w:val="HA"/>
        <w:spacing w:after="120" w:line="240" w:lineRule="auto"/>
        <w:jc w:val="both"/>
        <w:rPr>
          <w:b/>
          <w:sz w:val="22"/>
          <w:szCs w:val="22"/>
        </w:rPr>
      </w:pPr>
      <w:r w:rsidRPr="003C598F">
        <w:rPr>
          <w:b/>
          <w:sz w:val="22"/>
          <w:szCs w:val="22"/>
        </w:rPr>
        <w:t xml:space="preserve">Community </w:t>
      </w:r>
      <w:r w:rsidR="003E0336">
        <w:rPr>
          <w:b/>
          <w:sz w:val="22"/>
          <w:szCs w:val="22"/>
        </w:rPr>
        <w:t>e</w:t>
      </w:r>
      <w:r w:rsidR="003E0336" w:rsidRPr="003C598F">
        <w:rPr>
          <w:b/>
          <w:sz w:val="22"/>
          <w:szCs w:val="22"/>
        </w:rPr>
        <w:t>ngagement</w:t>
      </w:r>
    </w:p>
    <w:p w:rsidR="00B37596" w:rsidRPr="00534A55" w:rsidRDefault="00B37596" w:rsidP="003C598F">
      <w:pPr>
        <w:pStyle w:val="Body"/>
        <w:spacing w:after="0"/>
        <w:jc w:val="both"/>
        <w:rPr>
          <w:szCs w:val="22"/>
          <w:lang w:val="en-US"/>
        </w:rPr>
      </w:pPr>
      <w:r>
        <w:rPr>
          <w:szCs w:val="22"/>
          <w:lang w:val="en-US"/>
        </w:rPr>
        <w:t xml:space="preserve">DELWP should </w:t>
      </w:r>
      <w:r w:rsidRPr="00534A55">
        <w:rPr>
          <w:szCs w:val="22"/>
          <w:lang w:val="en-US"/>
        </w:rPr>
        <w:t xml:space="preserve">ensure that </w:t>
      </w:r>
      <w:r w:rsidR="007C02BD">
        <w:rPr>
          <w:szCs w:val="22"/>
          <w:lang w:val="en-US"/>
        </w:rPr>
        <w:t>stakeholders beyond the immediate burn area are prioritised</w:t>
      </w:r>
      <w:r w:rsidR="00433F3C">
        <w:rPr>
          <w:szCs w:val="22"/>
          <w:lang w:val="en-US"/>
        </w:rPr>
        <w:t xml:space="preserve">, </w:t>
      </w:r>
      <w:r w:rsidR="007C02BD">
        <w:rPr>
          <w:szCs w:val="22"/>
          <w:lang w:val="en-US"/>
        </w:rPr>
        <w:t xml:space="preserve">communication is delivered </w:t>
      </w:r>
      <w:r w:rsidRPr="00534A55">
        <w:rPr>
          <w:szCs w:val="22"/>
          <w:lang w:val="en-US"/>
        </w:rPr>
        <w:t>in an active and meaningful way that suits the needs of the community</w:t>
      </w:r>
      <w:r w:rsidR="00041EDC">
        <w:rPr>
          <w:szCs w:val="22"/>
          <w:lang w:val="en-US"/>
        </w:rPr>
        <w:t xml:space="preserve">, </w:t>
      </w:r>
      <w:r>
        <w:rPr>
          <w:szCs w:val="22"/>
          <w:lang w:val="en-US"/>
        </w:rPr>
        <w:t>and</w:t>
      </w:r>
      <w:r w:rsidRPr="00534A55">
        <w:rPr>
          <w:szCs w:val="22"/>
          <w:lang w:val="en-US"/>
        </w:rPr>
        <w:t xml:space="preserve"> community perspectives that reflect the diverse land uses are incorporated into the planned burning program.</w:t>
      </w:r>
    </w:p>
    <w:p w:rsidR="0081579C" w:rsidRDefault="0081579C" w:rsidP="0081579C">
      <w:pPr>
        <w:pStyle w:val="HA"/>
        <w:spacing w:after="0" w:line="240" w:lineRule="auto"/>
        <w:jc w:val="both"/>
        <w:rPr>
          <w:sz w:val="22"/>
          <w:szCs w:val="22"/>
        </w:rPr>
      </w:pPr>
    </w:p>
    <w:p w:rsidR="00B37596" w:rsidRPr="003C598F" w:rsidRDefault="00B37596" w:rsidP="003C598F">
      <w:pPr>
        <w:pStyle w:val="HA"/>
        <w:spacing w:after="120" w:line="240" w:lineRule="auto"/>
        <w:jc w:val="both"/>
        <w:rPr>
          <w:b/>
          <w:sz w:val="22"/>
          <w:szCs w:val="22"/>
        </w:rPr>
      </w:pPr>
      <w:r w:rsidRPr="003C598F">
        <w:rPr>
          <w:b/>
          <w:sz w:val="22"/>
          <w:szCs w:val="22"/>
        </w:rPr>
        <w:t>Structure</w:t>
      </w:r>
    </w:p>
    <w:p w:rsidR="00B37596" w:rsidRPr="00534A55" w:rsidRDefault="00B37596" w:rsidP="003C598F">
      <w:pPr>
        <w:pStyle w:val="Body"/>
        <w:spacing w:after="0"/>
        <w:jc w:val="both"/>
        <w:rPr>
          <w:szCs w:val="22"/>
          <w:lang w:val="en-US"/>
        </w:rPr>
      </w:pPr>
      <w:r w:rsidRPr="00534A55">
        <w:rPr>
          <w:szCs w:val="22"/>
          <w:lang w:val="en-US"/>
        </w:rPr>
        <w:t xml:space="preserve">The report recommends a review of </w:t>
      </w:r>
      <w:r>
        <w:rPr>
          <w:szCs w:val="22"/>
          <w:lang w:val="en-US"/>
        </w:rPr>
        <w:t>DELWP’s</w:t>
      </w:r>
      <w:r w:rsidRPr="00534A55">
        <w:rPr>
          <w:szCs w:val="22"/>
          <w:lang w:val="en-US"/>
        </w:rPr>
        <w:t xml:space="preserve"> structure at all levels to better integrate operational burn planning and operational implementation</w:t>
      </w:r>
      <w:r w:rsidR="007C02BD">
        <w:rPr>
          <w:szCs w:val="22"/>
          <w:lang w:val="en-US"/>
        </w:rPr>
        <w:t xml:space="preserve"> and</w:t>
      </w:r>
      <w:r>
        <w:rPr>
          <w:szCs w:val="22"/>
          <w:lang w:val="en-US"/>
        </w:rPr>
        <w:t xml:space="preserve"> </w:t>
      </w:r>
      <w:r w:rsidRPr="00534A55">
        <w:rPr>
          <w:szCs w:val="22"/>
          <w:lang w:val="en-US"/>
        </w:rPr>
        <w:t>to provide sound governance, risk management and quality control.</w:t>
      </w:r>
    </w:p>
    <w:p w:rsidR="0081579C" w:rsidRDefault="0081579C" w:rsidP="0081579C">
      <w:pPr>
        <w:pStyle w:val="HA"/>
        <w:spacing w:after="0" w:line="240" w:lineRule="auto"/>
        <w:jc w:val="both"/>
        <w:rPr>
          <w:sz w:val="22"/>
          <w:szCs w:val="22"/>
        </w:rPr>
      </w:pPr>
    </w:p>
    <w:p w:rsidR="00B37596" w:rsidRPr="003C598F" w:rsidRDefault="00B37596" w:rsidP="003C598F">
      <w:pPr>
        <w:pStyle w:val="HA"/>
        <w:spacing w:after="120" w:line="240" w:lineRule="auto"/>
        <w:jc w:val="both"/>
        <w:rPr>
          <w:b/>
          <w:sz w:val="22"/>
          <w:szCs w:val="22"/>
        </w:rPr>
      </w:pPr>
      <w:r w:rsidRPr="003C598F">
        <w:rPr>
          <w:b/>
          <w:sz w:val="22"/>
          <w:szCs w:val="22"/>
        </w:rPr>
        <w:t>Branding</w:t>
      </w:r>
    </w:p>
    <w:p w:rsidR="00B37596" w:rsidRPr="00534A55" w:rsidRDefault="00B37596" w:rsidP="003C598F">
      <w:pPr>
        <w:pStyle w:val="Body"/>
        <w:spacing w:after="0"/>
        <w:jc w:val="both"/>
        <w:rPr>
          <w:szCs w:val="22"/>
          <w:lang w:val="en-US"/>
        </w:rPr>
      </w:pPr>
      <w:r>
        <w:rPr>
          <w:szCs w:val="22"/>
          <w:lang w:val="en-US"/>
        </w:rPr>
        <w:t>DELWP</w:t>
      </w:r>
      <w:r w:rsidRPr="00534A55">
        <w:rPr>
          <w:szCs w:val="22"/>
        </w:rPr>
        <w:t xml:space="preserve"> </w:t>
      </w:r>
      <w:r w:rsidR="0057117A">
        <w:rPr>
          <w:szCs w:val="22"/>
        </w:rPr>
        <w:t xml:space="preserve">should </w:t>
      </w:r>
      <w:r w:rsidRPr="00534A55">
        <w:rPr>
          <w:szCs w:val="22"/>
        </w:rPr>
        <w:t xml:space="preserve">consider </w:t>
      </w:r>
      <w:r>
        <w:rPr>
          <w:szCs w:val="22"/>
        </w:rPr>
        <w:t xml:space="preserve">better </w:t>
      </w:r>
      <w:r w:rsidRPr="00534A55">
        <w:rPr>
          <w:szCs w:val="22"/>
        </w:rPr>
        <w:t xml:space="preserve">branding the portfolio dealing with fire management and planned burning on public land so there is an enduring entity </w:t>
      </w:r>
      <w:r>
        <w:rPr>
          <w:szCs w:val="22"/>
        </w:rPr>
        <w:t>to build</w:t>
      </w:r>
      <w:r w:rsidRPr="00534A55">
        <w:rPr>
          <w:szCs w:val="22"/>
        </w:rPr>
        <w:t xml:space="preserve"> stronger and more sustainable relationships with the community</w:t>
      </w:r>
      <w:r>
        <w:rPr>
          <w:szCs w:val="22"/>
        </w:rPr>
        <w:t>.</w:t>
      </w:r>
    </w:p>
    <w:p w:rsidR="0081579C" w:rsidRDefault="0081579C" w:rsidP="0081579C">
      <w:pPr>
        <w:pStyle w:val="HA"/>
        <w:spacing w:after="0" w:line="240" w:lineRule="auto"/>
        <w:jc w:val="both"/>
        <w:rPr>
          <w:sz w:val="22"/>
          <w:szCs w:val="22"/>
        </w:rPr>
      </w:pPr>
    </w:p>
    <w:p w:rsidR="00B37596" w:rsidRPr="003C598F" w:rsidRDefault="00B37596" w:rsidP="003C598F">
      <w:pPr>
        <w:pStyle w:val="HA"/>
        <w:spacing w:after="120" w:line="240" w:lineRule="auto"/>
        <w:jc w:val="both"/>
        <w:rPr>
          <w:b/>
          <w:sz w:val="22"/>
          <w:szCs w:val="22"/>
        </w:rPr>
      </w:pPr>
      <w:r w:rsidRPr="003C598F">
        <w:rPr>
          <w:b/>
          <w:sz w:val="22"/>
          <w:szCs w:val="22"/>
        </w:rPr>
        <w:t>Systems and processes</w:t>
      </w:r>
    </w:p>
    <w:p w:rsidR="00B37596" w:rsidRPr="00534A55" w:rsidRDefault="005E3EE8" w:rsidP="003C598F">
      <w:pPr>
        <w:pStyle w:val="Body"/>
        <w:spacing w:after="0"/>
        <w:jc w:val="both"/>
        <w:rPr>
          <w:szCs w:val="22"/>
          <w:lang w:val="en-US"/>
        </w:rPr>
      </w:pPr>
      <w:r>
        <w:rPr>
          <w:szCs w:val="22"/>
          <w:lang w:val="en-US"/>
        </w:rPr>
        <w:t>DELWP should</w:t>
      </w:r>
      <w:r w:rsidR="00B37596" w:rsidRPr="00534A55">
        <w:rPr>
          <w:szCs w:val="22"/>
          <w:lang w:val="en-US"/>
        </w:rPr>
        <w:t xml:space="preserve"> focus on improvements to systems and processes</w:t>
      </w:r>
      <w:r w:rsidR="00B37596">
        <w:rPr>
          <w:szCs w:val="22"/>
          <w:lang w:val="en-US"/>
        </w:rPr>
        <w:t xml:space="preserve">, such as: improving </w:t>
      </w:r>
      <w:r w:rsidR="00B37596" w:rsidRPr="00534A55">
        <w:rPr>
          <w:szCs w:val="22"/>
          <w:lang w:val="en-US"/>
        </w:rPr>
        <w:t xml:space="preserve">the way </w:t>
      </w:r>
      <w:r w:rsidR="00B37596">
        <w:rPr>
          <w:szCs w:val="22"/>
          <w:lang w:val="en-US"/>
        </w:rPr>
        <w:t>risk is assessed to be reflective of the broader landscape;</w:t>
      </w:r>
      <w:r w:rsidR="00B37596" w:rsidRPr="00534A55">
        <w:rPr>
          <w:szCs w:val="22"/>
          <w:lang w:val="en-US"/>
        </w:rPr>
        <w:t xml:space="preserve"> </w:t>
      </w:r>
      <w:r w:rsidR="00B37596">
        <w:rPr>
          <w:szCs w:val="22"/>
          <w:lang w:val="en-US"/>
        </w:rPr>
        <w:t>ensuring</w:t>
      </w:r>
      <w:r w:rsidR="00B37596" w:rsidRPr="00534A55">
        <w:rPr>
          <w:szCs w:val="22"/>
          <w:lang w:val="en-US"/>
        </w:rPr>
        <w:t xml:space="preserve"> resourcing is appropriate to risk</w:t>
      </w:r>
      <w:r w:rsidR="00B37596">
        <w:rPr>
          <w:szCs w:val="22"/>
          <w:lang w:val="en-US"/>
        </w:rPr>
        <w:t>;</w:t>
      </w:r>
      <w:r w:rsidR="00B37596" w:rsidRPr="00534A55">
        <w:rPr>
          <w:szCs w:val="22"/>
          <w:lang w:val="en-US"/>
        </w:rPr>
        <w:t xml:space="preserve"> contingency planning is in place</w:t>
      </w:r>
      <w:r w:rsidR="00B37596">
        <w:rPr>
          <w:szCs w:val="22"/>
          <w:lang w:val="en-US"/>
        </w:rPr>
        <w:t>;</w:t>
      </w:r>
      <w:r w:rsidR="00B37596" w:rsidRPr="00534A55">
        <w:rPr>
          <w:szCs w:val="22"/>
          <w:lang w:val="en-US"/>
        </w:rPr>
        <w:t xml:space="preserve"> and </w:t>
      </w:r>
      <w:r w:rsidR="007C02BD">
        <w:rPr>
          <w:szCs w:val="22"/>
          <w:lang w:val="en-US"/>
        </w:rPr>
        <w:t>adopt</w:t>
      </w:r>
      <w:r w:rsidR="009955B1">
        <w:rPr>
          <w:szCs w:val="22"/>
          <w:lang w:val="en-US"/>
        </w:rPr>
        <w:t>ing</w:t>
      </w:r>
      <w:r w:rsidR="007C02BD">
        <w:rPr>
          <w:szCs w:val="22"/>
          <w:lang w:val="en-US"/>
        </w:rPr>
        <w:t xml:space="preserve"> a tenure blind approach</w:t>
      </w:r>
      <w:r w:rsidR="00B37596" w:rsidRPr="00534A55">
        <w:rPr>
          <w:szCs w:val="22"/>
          <w:lang w:val="en-US"/>
        </w:rPr>
        <w:t xml:space="preserve">. </w:t>
      </w:r>
    </w:p>
    <w:p w:rsidR="0081579C" w:rsidRDefault="0081579C" w:rsidP="003C598F">
      <w:pPr>
        <w:pStyle w:val="Body"/>
        <w:spacing w:after="0"/>
        <w:jc w:val="both"/>
        <w:rPr>
          <w:szCs w:val="22"/>
          <w:lang w:val="en-US"/>
        </w:rPr>
      </w:pPr>
    </w:p>
    <w:p w:rsidR="00B37596" w:rsidRDefault="007C02BD" w:rsidP="003C598F">
      <w:pPr>
        <w:pStyle w:val="Body"/>
        <w:spacing w:after="0"/>
        <w:jc w:val="both"/>
        <w:rPr>
          <w:szCs w:val="22"/>
          <w:lang w:val="en-US"/>
        </w:rPr>
      </w:pPr>
      <w:r>
        <w:rPr>
          <w:szCs w:val="22"/>
          <w:lang w:val="en-US"/>
        </w:rPr>
        <w:t xml:space="preserve">The required weather information </w:t>
      </w:r>
      <w:r w:rsidR="005E3EE8">
        <w:rPr>
          <w:szCs w:val="22"/>
          <w:lang w:val="en-US"/>
        </w:rPr>
        <w:t xml:space="preserve">should </w:t>
      </w:r>
      <w:r>
        <w:rPr>
          <w:szCs w:val="22"/>
          <w:lang w:val="en-US"/>
        </w:rPr>
        <w:t xml:space="preserve">be made available to staff undertaking a planned burn. A review of current weather training </w:t>
      </w:r>
      <w:r w:rsidR="005E3EE8">
        <w:rPr>
          <w:szCs w:val="22"/>
          <w:lang w:val="en-US"/>
        </w:rPr>
        <w:t xml:space="preserve">should be </w:t>
      </w:r>
      <w:r w:rsidR="003E0336">
        <w:rPr>
          <w:szCs w:val="22"/>
          <w:lang w:val="en-US"/>
        </w:rPr>
        <w:t xml:space="preserve">done </w:t>
      </w:r>
      <w:r>
        <w:rPr>
          <w:szCs w:val="22"/>
          <w:lang w:val="en-US"/>
        </w:rPr>
        <w:t xml:space="preserve">and new technology incorporated. </w:t>
      </w:r>
    </w:p>
    <w:p w:rsidR="003C598F" w:rsidRPr="00534A55" w:rsidRDefault="003C598F" w:rsidP="003C598F">
      <w:pPr>
        <w:pStyle w:val="Body"/>
        <w:spacing w:after="0"/>
        <w:jc w:val="both"/>
        <w:rPr>
          <w:szCs w:val="22"/>
          <w:lang w:val="en-US"/>
        </w:rPr>
      </w:pPr>
    </w:p>
    <w:p w:rsidR="00B37596" w:rsidRDefault="00B37596" w:rsidP="0081579C">
      <w:pPr>
        <w:jc w:val="both"/>
        <w:rPr>
          <w:szCs w:val="22"/>
          <w:lang w:val="en-US"/>
        </w:rPr>
      </w:pPr>
      <w:bookmarkStart w:id="1" w:name="Here"/>
      <w:bookmarkEnd w:id="1"/>
      <w:r>
        <w:rPr>
          <w:szCs w:val="22"/>
          <w:lang w:val="en-US"/>
        </w:rPr>
        <w:t>A</w:t>
      </w:r>
      <w:r w:rsidRPr="00534A55">
        <w:rPr>
          <w:szCs w:val="22"/>
          <w:lang w:val="en-US"/>
        </w:rPr>
        <w:t xml:space="preserve"> quality assurance and peer review system </w:t>
      </w:r>
      <w:r w:rsidR="003C598F">
        <w:rPr>
          <w:szCs w:val="22"/>
          <w:lang w:val="en-US"/>
        </w:rPr>
        <w:t>be</w:t>
      </w:r>
      <w:r w:rsidR="003C598F" w:rsidRPr="00534A55">
        <w:rPr>
          <w:szCs w:val="22"/>
          <w:lang w:val="en-US"/>
        </w:rPr>
        <w:t xml:space="preserve"> </w:t>
      </w:r>
      <w:r w:rsidRPr="00534A55">
        <w:rPr>
          <w:szCs w:val="22"/>
          <w:lang w:val="en-US"/>
        </w:rPr>
        <w:t>put into place to ensure lessons are learnt and any areas of concern are addressed.</w:t>
      </w:r>
    </w:p>
    <w:p w:rsidR="00B37596" w:rsidRPr="00534A55" w:rsidRDefault="00B37596" w:rsidP="0081579C">
      <w:pPr>
        <w:jc w:val="both"/>
        <w:rPr>
          <w:szCs w:val="22"/>
          <w:lang w:val="en-US"/>
        </w:rPr>
      </w:pPr>
    </w:p>
    <w:p w:rsidR="00B37596" w:rsidRPr="00534A55" w:rsidRDefault="00B37596" w:rsidP="0081579C">
      <w:pPr>
        <w:jc w:val="both"/>
        <w:rPr>
          <w:szCs w:val="22"/>
          <w:lang w:val="en-US"/>
        </w:rPr>
      </w:pPr>
      <w:r>
        <w:rPr>
          <w:szCs w:val="22"/>
          <w:lang w:val="en-US"/>
        </w:rPr>
        <w:t>G</w:t>
      </w:r>
      <w:r w:rsidRPr="00534A55">
        <w:rPr>
          <w:szCs w:val="22"/>
          <w:lang w:val="en-US"/>
        </w:rPr>
        <w:t xml:space="preserve">reater consideration </w:t>
      </w:r>
      <w:r w:rsidR="005E3EE8">
        <w:rPr>
          <w:szCs w:val="22"/>
          <w:lang w:val="en-US"/>
        </w:rPr>
        <w:t xml:space="preserve">should </w:t>
      </w:r>
      <w:r w:rsidR="00041EDC">
        <w:rPr>
          <w:szCs w:val="22"/>
          <w:lang w:val="en-US"/>
        </w:rPr>
        <w:t xml:space="preserve">be </w:t>
      </w:r>
      <w:r w:rsidRPr="00534A55">
        <w:rPr>
          <w:szCs w:val="22"/>
          <w:lang w:val="en-US"/>
        </w:rPr>
        <w:t>given to using aircraft for burn security surveillance as well as assisting in delivery of the planned burning program and fire suppression activities.</w:t>
      </w:r>
    </w:p>
    <w:p w:rsidR="00B37596" w:rsidRPr="00534A55" w:rsidRDefault="00B37596" w:rsidP="0081579C">
      <w:pPr>
        <w:jc w:val="both"/>
        <w:rPr>
          <w:szCs w:val="22"/>
          <w:lang w:val="en-US"/>
        </w:rPr>
      </w:pPr>
    </w:p>
    <w:p w:rsidR="00B37596" w:rsidRPr="00534A55" w:rsidRDefault="00B37596" w:rsidP="003C598F">
      <w:pPr>
        <w:pStyle w:val="Body"/>
        <w:spacing w:after="0"/>
        <w:jc w:val="both"/>
        <w:rPr>
          <w:szCs w:val="22"/>
        </w:rPr>
      </w:pPr>
      <w:r>
        <w:rPr>
          <w:szCs w:val="22"/>
          <w:lang w:val="en-US"/>
        </w:rPr>
        <w:t xml:space="preserve">DELWP </w:t>
      </w:r>
      <w:r w:rsidR="0081579C">
        <w:rPr>
          <w:szCs w:val="22"/>
          <w:lang w:val="en-US"/>
        </w:rPr>
        <w:t xml:space="preserve">should </w:t>
      </w:r>
      <w:r w:rsidR="007C02BD">
        <w:rPr>
          <w:szCs w:val="22"/>
          <w:lang w:val="en-US"/>
        </w:rPr>
        <w:t xml:space="preserve">broaden its focus and </w:t>
      </w:r>
      <w:r>
        <w:rPr>
          <w:szCs w:val="22"/>
          <w:lang w:val="en-US"/>
        </w:rPr>
        <w:t>consider planned</w:t>
      </w:r>
      <w:r w:rsidRPr="00534A55">
        <w:rPr>
          <w:szCs w:val="22"/>
          <w:lang w:val="en-US"/>
        </w:rPr>
        <w:t xml:space="preserve"> burning as just one of the many options in </w:t>
      </w:r>
      <w:r w:rsidRPr="00534A55">
        <w:rPr>
          <w:szCs w:val="22"/>
        </w:rPr>
        <w:t>managing fuels</w:t>
      </w:r>
      <w:r w:rsidR="007C02BD">
        <w:rPr>
          <w:szCs w:val="22"/>
        </w:rPr>
        <w:t>. It should</w:t>
      </w:r>
      <w:r w:rsidRPr="00534A55">
        <w:rPr>
          <w:szCs w:val="22"/>
        </w:rPr>
        <w:t xml:space="preserve"> engage with Emergency Management Victoria</w:t>
      </w:r>
      <w:r>
        <w:rPr>
          <w:szCs w:val="22"/>
        </w:rPr>
        <w:t xml:space="preserve"> </w:t>
      </w:r>
      <w:r w:rsidRPr="00534A55">
        <w:rPr>
          <w:szCs w:val="22"/>
        </w:rPr>
        <w:t>in seeking and implementing solutions to improving landscape scale bushfire risk management.</w:t>
      </w:r>
    </w:p>
    <w:p w:rsidR="0081579C" w:rsidRDefault="0081579C" w:rsidP="003C598F">
      <w:pPr>
        <w:pStyle w:val="HA"/>
        <w:spacing w:after="0" w:line="240" w:lineRule="auto"/>
        <w:jc w:val="both"/>
        <w:rPr>
          <w:sz w:val="22"/>
          <w:szCs w:val="22"/>
        </w:rPr>
      </w:pPr>
    </w:p>
    <w:p w:rsidR="00B37596" w:rsidRPr="003C598F" w:rsidRDefault="00B37596" w:rsidP="0081579C">
      <w:pPr>
        <w:pStyle w:val="HA"/>
        <w:spacing w:after="120" w:line="240" w:lineRule="auto"/>
        <w:jc w:val="both"/>
        <w:rPr>
          <w:b/>
          <w:sz w:val="22"/>
          <w:szCs w:val="22"/>
        </w:rPr>
      </w:pPr>
      <w:r w:rsidRPr="003C598F">
        <w:rPr>
          <w:b/>
          <w:sz w:val="22"/>
          <w:szCs w:val="22"/>
        </w:rPr>
        <w:t>Risk</w:t>
      </w:r>
    </w:p>
    <w:p w:rsidR="00B37596" w:rsidRPr="00534A55" w:rsidRDefault="00B37596" w:rsidP="003C598F">
      <w:pPr>
        <w:pStyle w:val="Body"/>
        <w:spacing w:after="0"/>
        <w:jc w:val="both"/>
        <w:rPr>
          <w:szCs w:val="22"/>
          <w:lang w:val="en-US"/>
        </w:rPr>
      </w:pPr>
      <w:r>
        <w:rPr>
          <w:szCs w:val="22"/>
        </w:rPr>
        <w:t xml:space="preserve">DELWP should </w:t>
      </w:r>
      <w:r w:rsidR="007C02BD">
        <w:rPr>
          <w:szCs w:val="22"/>
        </w:rPr>
        <w:t>undertake</w:t>
      </w:r>
      <w:r w:rsidR="007C02BD" w:rsidRPr="00534A55">
        <w:rPr>
          <w:szCs w:val="22"/>
        </w:rPr>
        <w:t xml:space="preserve"> </w:t>
      </w:r>
      <w:r w:rsidRPr="00534A55">
        <w:rPr>
          <w:szCs w:val="22"/>
        </w:rPr>
        <w:t xml:space="preserve">a thorough review of </w:t>
      </w:r>
      <w:r>
        <w:rPr>
          <w:szCs w:val="22"/>
        </w:rPr>
        <w:t>its</w:t>
      </w:r>
      <w:r w:rsidRPr="00534A55">
        <w:rPr>
          <w:szCs w:val="22"/>
        </w:rPr>
        <w:t xml:space="preserve"> risk management and approvals</w:t>
      </w:r>
      <w:r w:rsidRPr="00534A55">
        <w:rPr>
          <w:szCs w:val="22"/>
          <w:lang w:val="en-US"/>
        </w:rPr>
        <w:t xml:space="preserve"> processes</w:t>
      </w:r>
      <w:r>
        <w:rPr>
          <w:szCs w:val="22"/>
          <w:lang w:val="en-US"/>
        </w:rPr>
        <w:t xml:space="preserve">. Risk </w:t>
      </w:r>
      <w:r w:rsidRPr="00534A55">
        <w:rPr>
          <w:szCs w:val="22"/>
          <w:lang w:val="en-US"/>
        </w:rPr>
        <w:t xml:space="preserve">assessments and outputs </w:t>
      </w:r>
      <w:r>
        <w:rPr>
          <w:szCs w:val="22"/>
          <w:lang w:val="en-US"/>
        </w:rPr>
        <w:t>should be</w:t>
      </w:r>
      <w:r w:rsidRPr="00534A55">
        <w:rPr>
          <w:szCs w:val="22"/>
          <w:lang w:val="en-US"/>
        </w:rPr>
        <w:t xml:space="preserve"> clear, current and useful and</w:t>
      </w:r>
      <w:r w:rsidR="007150A8">
        <w:rPr>
          <w:szCs w:val="22"/>
          <w:lang w:val="en-US"/>
        </w:rPr>
        <w:t xml:space="preserve"> </w:t>
      </w:r>
      <w:r w:rsidRPr="00534A55">
        <w:rPr>
          <w:szCs w:val="22"/>
          <w:lang w:val="en-US"/>
        </w:rPr>
        <w:t xml:space="preserve">not </w:t>
      </w:r>
      <w:r>
        <w:rPr>
          <w:szCs w:val="22"/>
          <w:lang w:val="en-US"/>
        </w:rPr>
        <w:t xml:space="preserve">just </w:t>
      </w:r>
      <w:r w:rsidRPr="00534A55">
        <w:rPr>
          <w:szCs w:val="22"/>
          <w:lang w:val="en-US"/>
        </w:rPr>
        <w:t xml:space="preserve">rely on operational knowledge. </w:t>
      </w:r>
      <w:r>
        <w:rPr>
          <w:szCs w:val="22"/>
          <w:lang w:val="en-US"/>
        </w:rPr>
        <w:t>R</w:t>
      </w:r>
      <w:r w:rsidRPr="00534A55">
        <w:rPr>
          <w:szCs w:val="22"/>
          <w:lang w:val="en-US"/>
        </w:rPr>
        <w:t xml:space="preserve">isk assessments </w:t>
      </w:r>
      <w:r w:rsidR="0081579C">
        <w:rPr>
          <w:szCs w:val="22"/>
          <w:lang w:val="en-US"/>
        </w:rPr>
        <w:t>should</w:t>
      </w:r>
      <w:r>
        <w:rPr>
          <w:szCs w:val="22"/>
          <w:lang w:val="en-US"/>
        </w:rPr>
        <w:t xml:space="preserve"> </w:t>
      </w:r>
      <w:r w:rsidRPr="00534A55">
        <w:rPr>
          <w:szCs w:val="22"/>
          <w:lang w:val="en-US"/>
        </w:rPr>
        <w:t xml:space="preserve">include triggers to </w:t>
      </w:r>
      <w:r>
        <w:rPr>
          <w:szCs w:val="22"/>
          <w:lang w:val="en-US"/>
        </w:rPr>
        <w:t>reassess risk</w:t>
      </w:r>
      <w:r w:rsidRPr="00534A55">
        <w:rPr>
          <w:szCs w:val="22"/>
          <w:lang w:val="en-US"/>
        </w:rPr>
        <w:t xml:space="preserve"> when conditions chang</w:t>
      </w:r>
      <w:r w:rsidR="00433F3C">
        <w:rPr>
          <w:szCs w:val="22"/>
          <w:lang w:val="en-US"/>
        </w:rPr>
        <w:t>e.</w:t>
      </w:r>
      <w:r w:rsidRPr="00534A55">
        <w:rPr>
          <w:szCs w:val="22"/>
          <w:lang w:val="en-US"/>
        </w:rPr>
        <w:t xml:space="preserve"> </w:t>
      </w:r>
      <w:r w:rsidR="00433F3C">
        <w:rPr>
          <w:szCs w:val="22"/>
          <w:lang w:val="en-US"/>
        </w:rPr>
        <w:t>C</w:t>
      </w:r>
      <w:r w:rsidRPr="00534A55">
        <w:rPr>
          <w:szCs w:val="22"/>
          <w:lang w:val="en-US"/>
        </w:rPr>
        <w:t xml:space="preserve">ontinuity of staff managing planned burns </w:t>
      </w:r>
      <w:r w:rsidR="00433F3C">
        <w:rPr>
          <w:szCs w:val="22"/>
          <w:lang w:val="en-US"/>
        </w:rPr>
        <w:t xml:space="preserve">should </w:t>
      </w:r>
      <w:r w:rsidRPr="00534A55">
        <w:rPr>
          <w:szCs w:val="22"/>
          <w:lang w:val="en-US"/>
        </w:rPr>
        <w:t>be implemented where possible and</w:t>
      </w:r>
      <w:r>
        <w:rPr>
          <w:szCs w:val="22"/>
          <w:lang w:val="en-US"/>
        </w:rPr>
        <w:t xml:space="preserve"> staff </w:t>
      </w:r>
      <w:r w:rsidRPr="00534A55">
        <w:rPr>
          <w:szCs w:val="22"/>
          <w:lang w:val="en-US"/>
        </w:rPr>
        <w:t xml:space="preserve">knowledge and experience commensurate to the level of risk posed by </w:t>
      </w:r>
      <w:r>
        <w:rPr>
          <w:szCs w:val="22"/>
          <w:lang w:val="en-US"/>
        </w:rPr>
        <w:t>a</w:t>
      </w:r>
      <w:r w:rsidRPr="00534A55">
        <w:rPr>
          <w:szCs w:val="22"/>
          <w:lang w:val="en-US"/>
        </w:rPr>
        <w:t xml:space="preserve"> burn.</w:t>
      </w:r>
    </w:p>
    <w:p w:rsidR="0081579C" w:rsidRDefault="0081579C" w:rsidP="003C598F">
      <w:pPr>
        <w:pStyle w:val="Body"/>
        <w:spacing w:after="0"/>
        <w:rPr>
          <w:szCs w:val="22"/>
          <w:lang w:val="en-US"/>
        </w:rPr>
      </w:pPr>
    </w:p>
    <w:p w:rsidR="0081579C" w:rsidRDefault="0081579C" w:rsidP="0081579C">
      <w:pPr>
        <w:pStyle w:val="Body"/>
        <w:rPr>
          <w:szCs w:val="22"/>
          <w:lang w:val="en-US"/>
        </w:rPr>
      </w:pPr>
      <w:r>
        <w:rPr>
          <w:szCs w:val="22"/>
          <w:lang w:val="en-US"/>
        </w:rPr>
        <w:t>The report notes the</w:t>
      </w:r>
      <w:r w:rsidRPr="00534A55">
        <w:rPr>
          <w:szCs w:val="22"/>
          <w:lang w:val="en-US"/>
        </w:rPr>
        <w:t xml:space="preserve"> current approach to audits of hazardous trees and suggests this audit and assessment process be expanded to other aspects of burn planning,</w:t>
      </w:r>
      <w:r>
        <w:rPr>
          <w:szCs w:val="22"/>
          <w:lang w:val="en-US"/>
        </w:rPr>
        <w:t xml:space="preserve"> preparation and implementation.</w:t>
      </w:r>
    </w:p>
    <w:p w:rsidR="001A0750" w:rsidRDefault="001A0750" w:rsidP="0036125D">
      <w:pPr>
        <w:pStyle w:val="HA"/>
        <w:spacing w:before="240" w:after="40" w:line="240" w:lineRule="auto"/>
        <w:jc w:val="both"/>
        <w:rPr>
          <w:b/>
          <w:sz w:val="22"/>
          <w:szCs w:val="22"/>
        </w:rPr>
      </w:pPr>
    </w:p>
    <w:p w:rsidR="0081579C" w:rsidRPr="00791165" w:rsidRDefault="0081579C" w:rsidP="0036125D">
      <w:pPr>
        <w:pStyle w:val="HA"/>
        <w:spacing w:before="240" w:after="40" w:line="240" w:lineRule="auto"/>
        <w:jc w:val="both"/>
        <w:rPr>
          <w:b/>
          <w:sz w:val="22"/>
          <w:szCs w:val="22"/>
        </w:rPr>
      </w:pPr>
      <w:r w:rsidRPr="00791165">
        <w:rPr>
          <w:b/>
          <w:sz w:val="22"/>
          <w:szCs w:val="22"/>
        </w:rPr>
        <w:t>Recommendations</w:t>
      </w:r>
    </w:p>
    <w:tbl>
      <w:tblPr>
        <w:tblStyle w:val="DELWPTable"/>
        <w:tblpPr w:leftFromText="180" w:rightFromText="180" w:vertAnchor="text" w:horzAnchor="margin" w:tblpY="74"/>
        <w:tblW w:w="5000" w:type="pct"/>
        <w:tblInd w:w="0" w:type="dxa"/>
        <w:tblBorders>
          <w:bottom w:val="none" w:sz="0" w:space="0" w:color="auto"/>
          <w:insideH w:val="none" w:sz="0" w:space="0" w:color="auto"/>
        </w:tblBorders>
        <w:tblLook w:val="04A0" w:firstRow="1" w:lastRow="0" w:firstColumn="1" w:lastColumn="0" w:noHBand="0" w:noVBand="1"/>
      </w:tblPr>
      <w:tblGrid>
        <w:gridCol w:w="10683"/>
      </w:tblGrid>
      <w:tr w:rsidR="007150A8" w:rsidRPr="00427C74" w:rsidTr="00B56ECE">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auto"/>
          </w:tcPr>
          <w:p w:rsidR="007150A8" w:rsidRPr="00427C74" w:rsidRDefault="007150A8" w:rsidP="003C598F">
            <w:pPr>
              <w:pStyle w:val="Heading6"/>
              <w:numPr>
                <w:ilvl w:val="0"/>
                <w:numId w:val="33"/>
              </w:numPr>
              <w:spacing w:before="0" w:after="40" w:line="276" w:lineRule="auto"/>
              <w:jc w:val="both"/>
              <w:outlineLvl w:val="5"/>
              <w:rPr>
                <w:b w:val="0"/>
                <w:sz w:val="20"/>
                <w:szCs w:val="20"/>
              </w:rPr>
            </w:pPr>
            <w:r w:rsidRPr="00427C74">
              <w:rPr>
                <w:b w:val="0"/>
                <w:sz w:val="20"/>
                <w:szCs w:val="20"/>
              </w:rPr>
              <w:t>The Department must adopt a tenure-blind approach to the management of bushfire risk including the planning of burns</w:t>
            </w:r>
          </w:p>
        </w:tc>
      </w:tr>
      <w:tr w:rsidR="007150A8" w:rsidRPr="00427C74" w:rsidTr="00B56ECE">
        <w:tc>
          <w:tcPr>
            <w:tcW w:w="5000" w:type="pct"/>
          </w:tcPr>
          <w:p w:rsidR="007150A8" w:rsidRPr="00427C74" w:rsidRDefault="007150A8" w:rsidP="00E65981">
            <w:pPr>
              <w:pStyle w:val="Heading6"/>
              <w:numPr>
                <w:ilvl w:val="0"/>
                <w:numId w:val="33"/>
              </w:numPr>
              <w:spacing w:before="0" w:after="40" w:line="276" w:lineRule="auto"/>
              <w:jc w:val="both"/>
              <w:rPr>
                <w:b w:val="0"/>
                <w:sz w:val="20"/>
                <w:szCs w:val="20"/>
                <w:lang w:val="en-US"/>
              </w:rPr>
            </w:pPr>
            <w:r w:rsidRPr="00427C74">
              <w:rPr>
                <w:b w:val="0"/>
                <w:sz w:val="20"/>
                <w:szCs w:val="20"/>
              </w:rPr>
              <w:t>In broadening its focus the Department should consider planned burning as just one of many options in managing fuels, landscape risk, multiple tenures, diverse land uses and must incorporate community perspectives</w:t>
            </w:r>
          </w:p>
        </w:tc>
      </w:tr>
      <w:tr w:rsidR="007150A8" w:rsidRPr="00427C74" w:rsidTr="00B56ECE">
        <w:tc>
          <w:tcPr>
            <w:tcW w:w="5000" w:type="pct"/>
          </w:tcPr>
          <w:p w:rsidR="007150A8" w:rsidRPr="00427C74" w:rsidRDefault="007150A8" w:rsidP="00E65981">
            <w:pPr>
              <w:pStyle w:val="Heading6"/>
              <w:numPr>
                <w:ilvl w:val="0"/>
                <w:numId w:val="33"/>
              </w:numPr>
              <w:spacing w:before="0" w:after="40" w:line="276" w:lineRule="auto"/>
              <w:jc w:val="both"/>
              <w:rPr>
                <w:b w:val="0"/>
                <w:sz w:val="20"/>
                <w:szCs w:val="20"/>
                <w:lang w:val="en-US"/>
              </w:rPr>
            </w:pPr>
            <w:r w:rsidRPr="00427C74">
              <w:rPr>
                <w:b w:val="0"/>
                <w:sz w:val="20"/>
                <w:szCs w:val="20"/>
              </w:rPr>
              <w:t>The Department should engage with EMV in seeking and implementing solutions to improving landscape scale bushfire risk management</w:t>
            </w:r>
          </w:p>
        </w:tc>
      </w:tr>
      <w:tr w:rsidR="007150A8" w:rsidRPr="00427C74" w:rsidTr="00B56ECE">
        <w:tc>
          <w:tcPr>
            <w:tcW w:w="5000" w:type="pct"/>
          </w:tcPr>
          <w:p w:rsidR="007150A8" w:rsidRPr="00427C74" w:rsidRDefault="007150A8" w:rsidP="00E65981">
            <w:pPr>
              <w:pStyle w:val="Heading6"/>
              <w:numPr>
                <w:ilvl w:val="0"/>
                <w:numId w:val="33"/>
              </w:numPr>
              <w:spacing w:before="0" w:after="40" w:line="276" w:lineRule="auto"/>
              <w:jc w:val="both"/>
              <w:rPr>
                <w:b w:val="0"/>
                <w:sz w:val="20"/>
                <w:szCs w:val="20"/>
                <w:lang w:val="en-US"/>
              </w:rPr>
            </w:pPr>
            <w:r w:rsidRPr="00427C74">
              <w:rPr>
                <w:b w:val="0"/>
                <w:sz w:val="20"/>
                <w:szCs w:val="20"/>
              </w:rPr>
              <w:t>The Department should undertake a thorough review of the risk management and approvals processes</w:t>
            </w:r>
          </w:p>
        </w:tc>
      </w:tr>
      <w:tr w:rsidR="007150A8" w:rsidRPr="00427C74" w:rsidTr="00B56ECE">
        <w:tc>
          <w:tcPr>
            <w:tcW w:w="5000" w:type="pct"/>
          </w:tcPr>
          <w:p w:rsidR="007150A8" w:rsidRPr="00427C74" w:rsidRDefault="007150A8" w:rsidP="001A0750">
            <w:pPr>
              <w:pStyle w:val="Heading6"/>
              <w:numPr>
                <w:ilvl w:val="0"/>
                <w:numId w:val="33"/>
              </w:numPr>
              <w:spacing w:before="0" w:after="40" w:line="276" w:lineRule="auto"/>
              <w:jc w:val="both"/>
              <w:rPr>
                <w:b w:val="0"/>
                <w:sz w:val="20"/>
                <w:szCs w:val="20"/>
                <w:lang w:val="en-US"/>
              </w:rPr>
            </w:pPr>
            <w:r w:rsidRPr="00427C74">
              <w:rPr>
                <w:b w:val="0"/>
                <w:sz w:val="20"/>
                <w:szCs w:val="20"/>
              </w:rPr>
              <w:t>The risk assessment processes and its outputs should be clear and comprehensible, able to be understood, reviewed and challenged by operational practitioners, and senior managers without fire backgrounds, as well as technical burn planners</w:t>
            </w:r>
          </w:p>
        </w:tc>
      </w:tr>
      <w:tr w:rsidR="007150A8" w:rsidRPr="00427C74" w:rsidTr="00B56ECE">
        <w:tc>
          <w:tcPr>
            <w:tcW w:w="5000" w:type="pct"/>
          </w:tcPr>
          <w:p w:rsidR="007150A8" w:rsidRPr="00427C74" w:rsidRDefault="007150A8" w:rsidP="00E65981">
            <w:pPr>
              <w:pStyle w:val="Heading6"/>
              <w:numPr>
                <w:ilvl w:val="0"/>
                <w:numId w:val="33"/>
              </w:numPr>
              <w:spacing w:before="0" w:after="40" w:line="276" w:lineRule="auto"/>
              <w:jc w:val="both"/>
              <w:rPr>
                <w:b w:val="0"/>
                <w:sz w:val="20"/>
                <w:szCs w:val="20"/>
                <w:lang w:val="en-US"/>
              </w:rPr>
            </w:pPr>
            <w:r w:rsidRPr="00427C74">
              <w:rPr>
                <w:b w:val="0"/>
                <w:sz w:val="20"/>
                <w:szCs w:val="20"/>
              </w:rPr>
              <w:t>Context setting and contingency planning should be specifically included within the reformed risk management processes</w:t>
            </w:r>
          </w:p>
        </w:tc>
      </w:tr>
      <w:tr w:rsidR="007150A8" w:rsidRPr="00427C74" w:rsidTr="00B56ECE">
        <w:tc>
          <w:tcPr>
            <w:tcW w:w="5000" w:type="pct"/>
          </w:tcPr>
          <w:p w:rsidR="007150A8" w:rsidRPr="00427C74" w:rsidRDefault="007150A8" w:rsidP="00E65981">
            <w:pPr>
              <w:pStyle w:val="Heading6"/>
              <w:numPr>
                <w:ilvl w:val="0"/>
                <w:numId w:val="33"/>
              </w:numPr>
              <w:spacing w:before="0" w:after="40" w:line="276" w:lineRule="auto"/>
              <w:jc w:val="both"/>
              <w:rPr>
                <w:b w:val="0"/>
                <w:sz w:val="20"/>
                <w:szCs w:val="20"/>
                <w:lang w:val="en-US"/>
              </w:rPr>
            </w:pPr>
            <w:r w:rsidRPr="00427C74">
              <w:rPr>
                <w:b w:val="0"/>
                <w:sz w:val="20"/>
                <w:szCs w:val="20"/>
              </w:rPr>
              <w:t>Clear rules and triggers should be established to ensure that burn plans are reviewed whenever the risk profile changes due to circumstances such as significant changes to boundaries, abnormal seasonal conditions, adjoining development or land use changes</w:t>
            </w:r>
          </w:p>
        </w:tc>
      </w:tr>
      <w:tr w:rsidR="007150A8" w:rsidRPr="00427C74" w:rsidTr="00B56ECE">
        <w:tc>
          <w:tcPr>
            <w:tcW w:w="5000" w:type="pct"/>
          </w:tcPr>
          <w:p w:rsidR="007150A8" w:rsidRPr="00427C74" w:rsidRDefault="007150A8" w:rsidP="00E65981">
            <w:pPr>
              <w:pStyle w:val="Heading6"/>
              <w:numPr>
                <w:ilvl w:val="0"/>
                <w:numId w:val="33"/>
              </w:numPr>
              <w:spacing w:before="0" w:after="40" w:line="276" w:lineRule="auto"/>
              <w:jc w:val="both"/>
              <w:rPr>
                <w:b w:val="0"/>
                <w:sz w:val="20"/>
                <w:szCs w:val="20"/>
              </w:rPr>
            </w:pPr>
            <w:r w:rsidRPr="00427C74">
              <w:rPr>
                <w:b w:val="0"/>
                <w:sz w:val="20"/>
                <w:szCs w:val="20"/>
              </w:rPr>
              <w:t>A burn scheduled for ignition must have a current and useful risk assessment</w:t>
            </w:r>
          </w:p>
        </w:tc>
      </w:tr>
      <w:tr w:rsidR="007150A8" w:rsidRPr="00427C74" w:rsidTr="00B56ECE">
        <w:tc>
          <w:tcPr>
            <w:tcW w:w="5000" w:type="pct"/>
          </w:tcPr>
          <w:p w:rsidR="007150A8" w:rsidRPr="00427C74" w:rsidRDefault="007150A8" w:rsidP="00E65981">
            <w:pPr>
              <w:pStyle w:val="Heading6"/>
              <w:numPr>
                <w:ilvl w:val="0"/>
                <w:numId w:val="33"/>
              </w:numPr>
              <w:spacing w:before="0" w:after="40" w:line="276" w:lineRule="auto"/>
              <w:jc w:val="both"/>
              <w:rPr>
                <w:b w:val="0"/>
                <w:sz w:val="20"/>
                <w:szCs w:val="20"/>
              </w:rPr>
            </w:pPr>
            <w:r w:rsidRPr="00427C74">
              <w:rPr>
                <w:b w:val="0"/>
                <w:sz w:val="20"/>
                <w:szCs w:val="20"/>
              </w:rPr>
              <w:t>The approach to audits of hazardous tree assessments and associated works should be extended to other aspects of burn planning, preparation and implementation</w:t>
            </w:r>
          </w:p>
        </w:tc>
      </w:tr>
      <w:tr w:rsidR="007150A8" w:rsidRPr="00427C74" w:rsidTr="00B56ECE">
        <w:tc>
          <w:tcPr>
            <w:tcW w:w="5000" w:type="pct"/>
          </w:tcPr>
          <w:p w:rsidR="007150A8" w:rsidRPr="00427C74" w:rsidRDefault="007150A8" w:rsidP="00E65981">
            <w:pPr>
              <w:pStyle w:val="Heading6"/>
              <w:numPr>
                <w:ilvl w:val="0"/>
                <w:numId w:val="33"/>
              </w:numPr>
              <w:spacing w:before="0" w:after="40" w:line="276" w:lineRule="auto"/>
              <w:jc w:val="both"/>
              <w:rPr>
                <w:b w:val="0"/>
                <w:sz w:val="20"/>
                <w:szCs w:val="20"/>
              </w:rPr>
            </w:pPr>
            <w:r w:rsidRPr="00427C74">
              <w:rPr>
                <w:b w:val="0"/>
                <w:sz w:val="20"/>
                <w:szCs w:val="20"/>
              </w:rPr>
              <w:t>A review of the organisation’s structures and processes at state, regional and district levels should be undertaken to better integrate operational burn planning and operational implementation and to provide sound governance, risk management and quality control</w:t>
            </w:r>
          </w:p>
        </w:tc>
      </w:tr>
      <w:tr w:rsidR="007150A8" w:rsidRPr="00427C74" w:rsidTr="00B56ECE">
        <w:tc>
          <w:tcPr>
            <w:tcW w:w="5000" w:type="pct"/>
          </w:tcPr>
          <w:p w:rsidR="007150A8" w:rsidRPr="00427C74" w:rsidRDefault="007150A8" w:rsidP="00E65981">
            <w:pPr>
              <w:pStyle w:val="Heading6"/>
              <w:numPr>
                <w:ilvl w:val="0"/>
                <w:numId w:val="33"/>
              </w:numPr>
              <w:spacing w:before="0" w:after="40" w:line="276" w:lineRule="auto"/>
              <w:jc w:val="both"/>
              <w:rPr>
                <w:b w:val="0"/>
                <w:sz w:val="20"/>
                <w:szCs w:val="20"/>
              </w:rPr>
            </w:pPr>
            <w:r w:rsidRPr="00427C74">
              <w:rPr>
                <w:b w:val="0"/>
                <w:sz w:val="20"/>
                <w:szCs w:val="20"/>
              </w:rPr>
              <w:t>Burn OICs with appropriate knowledge and experience commensurate with the nature and complexity of the fuels and planned burn operations should be actively involved from the beginning of the planning process</w:t>
            </w:r>
          </w:p>
        </w:tc>
      </w:tr>
      <w:tr w:rsidR="007150A8" w:rsidRPr="00427C74" w:rsidTr="00B56ECE">
        <w:tc>
          <w:tcPr>
            <w:tcW w:w="5000" w:type="pct"/>
          </w:tcPr>
          <w:p w:rsidR="007150A8" w:rsidRPr="00427C74" w:rsidRDefault="007150A8" w:rsidP="00E65981">
            <w:pPr>
              <w:pStyle w:val="Heading6"/>
              <w:numPr>
                <w:ilvl w:val="0"/>
                <w:numId w:val="33"/>
              </w:numPr>
              <w:spacing w:before="0" w:after="40" w:line="276" w:lineRule="auto"/>
              <w:jc w:val="both"/>
              <w:rPr>
                <w:b w:val="0"/>
                <w:sz w:val="20"/>
                <w:szCs w:val="20"/>
              </w:rPr>
            </w:pPr>
            <w:r w:rsidRPr="00427C74">
              <w:rPr>
                <w:b w:val="0"/>
                <w:sz w:val="20"/>
                <w:szCs w:val="20"/>
              </w:rPr>
              <w:t>To the maximum extent possible given numbers and availability of suitable staff across partner agencies, there should be a single Burn OIC to provide operational continuity across days of ignition and burn management</w:t>
            </w:r>
          </w:p>
        </w:tc>
      </w:tr>
      <w:tr w:rsidR="007150A8" w:rsidRPr="00427C74" w:rsidTr="00B56ECE">
        <w:tc>
          <w:tcPr>
            <w:tcW w:w="5000" w:type="pct"/>
          </w:tcPr>
          <w:p w:rsidR="007150A8" w:rsidRPr="00427C74" w:rsidRDefault="007150A8" w:rsidP="00E65981">
            <w:pPr>
              <w:pStyle w:val="Heading6"/>
              <w:numPr>
                <w:ilvl w:val="0"/>
                <w:numId w:val="33"/>
              </w:numPr>
              <w:spacing w:before="0" w:after="40" w:line="276" w:lineRule="auto"/>
              <w:jc w:val="both"/>
              <w:rPr>
                <w:b w:val="0"/>
                <w:sz w:val="20"/>
                <w:szCs w:val="20"/>
              </w:rPr>
            </w:pPr>
            <w:r w:rsidRPr="00427C74">
              <w:rPr>
                <w:b w:val="0"/>
                <w:sz w:val="20"/>
                <w:szCs w:val="20"/>
              </w:rPr>
              <w:t>An audit and quality assurance function should be established to maintain standards, facilitate continual improvement and to manage risk at all levels of the organisation</w:t>
            </w:r>
          </w:p>
        </w:tc>
      </w:tr>
      <w:tr w:rsidR="007150A8" w:rsidRPr="00427C74" w:rsidTr="00B56ECE">
        <w:tc>
          <w:tcPr>
            <w:tcW w:w="5000" w:type="pct"/>
          </w:tcPr>
          <w:p w:rsidR="007150A8" w:rsidRPr="00427C74" w:rsidRDefault="007150A8" w:rsidP="00E65981">
            <w:pPr>
              <w:pStyle w:val="Heading6"/>
              <w:numPr>
                <w:ilvl w:val="0"/>
                <w:numId w:val="33"/>
              </w:numPr>
              <w:spacing w:before="0" w:after="40" w:line="276" w:lineRule="auto"/>
              <w:jc w:val="both"/>
              <w:rPr>
                <w:b w:val="0"/>
                <w:sz w:val="20"/>
                <w:szCs w:val="20"/>
              </w:rPr>
            </w:pPr>
            <w:r w:rsidRPr="00427C74">
              <w:rPr>
                <w:b w:val="0"/>
                <w:sz w:val="20"/>
                <w:szCs w:val="20"/>
              </w:rPr>
              <w:t>Planning for resources must include any works necessary for the preparation of burns prior to the main ignition</w:t>
            </w:r>
          </w:p>
        </w:tc>
      </w:tr>
      <w:tr w:rsidR="007150A8" w:rsidRPr="00427C74" w:rsidTr="00B56ECE">
        <w:tc>
          <w:tcPr>
            <w:tcW w:w="5000" w:type="pct"/>
          </w:tcPr>
          <w:p w:rsidR="007150A8" w:rsidRPr="00427C74" w:rsidRDefault="007150A8" w:rsidP="00E65981">
            <w:pPr>
              <w:pStyle w:val="Heading6"/>
              <w:numPr>
                <w:ilvl w:val="0"/>
                <w:numId w:val="33"/>
              </w:numPr>
              <w:spacing w:before="0" w:after="40" w:line="276" w:lineRule="auto"/>
              <w:jc w:val="both"/>
              <w:rPr>
                <w:b w:val="0"/>
                <w:sz w:val="20"/>
                <w:szCs w:val="20"/>
              </w:rPr>
            </w:pPr>
            <w:r w:rsidRPr="00427C74">
              <w:rPr>
                <w:b w:val="0"/>
                <w:sz w:val="20"/>
                <w:szCs w:val="20"/>
              </w:rPr>
              <w:t>Indicative resourcing of burns must take account of the risk assessment and also provide for operational contingency planning</w:t>
            </w:r>
          </w:p>
        </w:tc>
      </w:tr>
      <w:tr w:rsidR="007150A8" w:rsidRPr="00427C74" w:rsidTr="00B56ECE">
        <w:tc>
          <w:tcPr>
            <w:tcW w:w="5000" w:type="pct"/>
          </w:tcPr>
          <w:p w:rsidR="007150A8" w:rsidRPr="00427C74" w:rsidRDefault="007150A8" w:rsidP="00E65981">
            <w:pPr>
              <w:pStyle w:val="Heading6"/>
              <w:numPr>
                <w:ilvl w:val="0"/>
                <w:numId w:val="33"/>
              </w:numPr>
              <w:spacing w:before="0" w:after="40" w:line="276" w:lineRule="auto"/>
              <w:jc w:val="both"/>
              <w:rPr>
                <w:b w:val="0"/>
                <w:sz w:val="20"/>
                <w:szCs w:val="20"/>
              </w:rPr>
            </w:pPr>
            <w:r w:rsidRPr="00427C74">
              <w:rPr>
                <w:b w:val="0"/>
                <w:sz w:val="20"/>
                <w:szCs w:val="20"/>
              </w:rPr>
              <w:t>Burn OICs must be fully involved in determining appropriate levels of resourcing for different operational phases and shifts</w:t>
            </w:r>
          </w:p>
        </w:tc>
      </w:tr>
      <w:tr w:rsidR="007150A8" w:rsidRPr="00427C74" w:rsidTr="00B56ECE">
        <w:tc>
          <w:tcPr>
            <w:tcW w:w="5000" w:type="pct"/>
          </w:tcPr>
          <w:p w:rsidR="007150A8" w:rsidRPr="00427C74" w:rsidRDefault="007150A8" w:rsidP="00E65981">
            <w:pPr>
              <w:pStyle w:val="Heading6"/>
              <w:numPr>
                <w:ilvl w:val="0"/>
                <w:numId w:val="33"/>
              </w:numPr>
              <w:spacing w:before="0" w:after="40" w:line="276" w:lineRule="auto"/>
              <w:jc w:val="both"/>
              <w:rPr>
                <w:b w:val="0"/>
                <w:sz w:val="20"/>
                <w:szCs w:val="20"/>
              </w:rPr>
            </w:pPr>
            <w:r w:rsidRPr="00427C74">
              <w:rPr>
                <w:b w:val="0"/>
                <w:sz w:val="20"/>
                <w:szCs w:val="20"/>
              </w:rPr>
              <w:t>Greater attention to drought factors and their interactions with forest fuels and forecast weather needs to be made when conducting planned burns</w:t>
            </w:r>
          </w:p>
        </w:tc>
      </w:tr>
      <w:tr w:rsidR="007150A8" w:rsidRPr="00427C74" w:rsidTr="00B56ECE">
        <w:tc>
          <w:tcPr>
            <w:tcW w:w="5000" w:type="pct"/>
          </w:tcPr>
          <w:p w:rsidR="007150A8" w:rsidRPr="00427C74" w:rsidRDefault="007150A8" w:rsidP="00E65981">
            <w:pPr>
              <w:pStyle w:val="Heading6"/>
              <w:numPr>
                <w:ilvl w:val="0"/>
                <w:numId w:val="33"/>
              </w:numPr>
              <w:spacing w:before="0" w:after="40" w:line="276" w:lineRule="auto"/>
              <w:jc w:val="both"/>
              <w:rPr>
                <w:b w:val="0"/>
                <w:sz w:val="20"/>
                <w:szCs w:val="20"/>
              </w:rPr>
            </w:pPr>
            <w:r w:rsidRPr="00427C74">
              <w:rPr>
                <w:b w:val="0"/>
                <w:sz w:val="20"/>
                <w:szCs w:val="20"/>
              </w:rPr>
              <w:t>The requirement for obtaining spot forecasts for planned burning should be linked to complexity and risk with appropriate oversight in place</w:t>
            </w:r>
          </w:p>
        </w:tc>
      </w:tr>
      <w:tr w:rsidR="007150A8" w:rsidRPr="00427C74" w:rsidTr="00B56ECE">
        <w:tc>
          <w:tcPr>
            <w:tcW w:w="5000" w:type="pct"/>
          </w:tcPr>
          <w:p w:rsidR="007150A8" w:rsidRPr="00427C74" w:rsidRDefault="007150A8" w:rsidP="00E65981">
            <w:pPr>
              <w:pStyle w:val="Heading6"/>
              <w:numPr>
                <w:ilvl w:val="0"/>
                <w:numId w:val="33"/>
              </w:numPr>
              <w:spacing w:before="0" w:after="40" w:line="276" w:lineRule="auto"/>
              <w:jc w:val="both"/>
              <w:rPr>
                <w:b w:val="0"/>
                <w:sz w:val="20"/>
                <w:szCs w:val="20"/>
              </w:rPr>
            </w:pPr>
            <w:r w:rsidRPr="00427C74">
              <w:rPr>
                <w:b w:val="0"/>
                <w:sz w:val="20"/>
                <w:szCs w:val="20"/>
              </w:rPr>
              <w:t>Greater consideration should be given to using aircraft for burn security surveillance as well as ignition and burning out operations, in addition to aerial observation and the suppression of bushfires</w:t>
            </w:r>
          </w:p>
        </w:tc>
      </w:tr>
      <w:tr w:rsidR="007150A8" w:rsidRPr="00427C74" w:rsidTr="00B56ECE">
        <w:tc>
          <w:tcPr>
            <w:tcW w:w="5000" w:type="pct"/>
          </w:tcPr>
          <w:p w:rsidR="007150A8" w:rsidRPr="00427C74" w:rsidRDefault="007150A8" w:rsidP="00E65981">
            <w:pPr>
              <w:pStyle w:val="Heading6"/>
              <w:numPr>
                <w:ilvl w:val="0"/>
                <w:numId w:val="33"/>
              </w:numPr>
              <w:spacing w:before="0" w:after="40" w:line="276" w:lineRule="auto"/>
              <w:jc w:val="both"/>
              <w:rPr>
                <w:b w:val="0"/>
                <w:sz w:val="20"/>
                <w:szCs w:val="20"/>
              </w:rPr>
            </w:pPr>
            <w:r w:rsidRPr="00427C74">
              <w:rPr>
                <w:b w:val="0"/>
                <w:sz w:val="20"/>
                <w:szCs w:val="20"/>
              </w:rPr>
              <w:t>Planning processes should be reviewed to ensure that stakeholders beyond the immediate burn area are clearly identified, prioritised and targeted with appropriate communication</w:t>
            </w:r>
          </w:p>
        </w:tc>
      </w:tr>
      <w:tr w:rsidR="007150A8" w:rsidRPr="00427C74" w:rsidTr="00B56ECE">
        <w:tc>
          <w:tcPr>
            <w:tcW w:w="5000" w:type="pct"/>
          </w:tcPr>
          <w:p w:rsidR="007150A8" w:rsidRPr="00427C74" w:rsidRDefault="007150A8" w:rsidP="00E65981">
            <w:pPr>
              <w:pStyle w:val="Heading6"/>
              <w:numPr>
                <w:ilvl w:val="0"/>
                <w:numId w:val="33"/>
              </w:numPr>
              <w:spacing w:before="0" w:after="40" w:line="276" w:lineRule="auto"/>
              <w:jc w:val="both"/>
              <w:rPr>
                <w:b w:val="0"/>
                <w:sz w:val="20"/>
                <w:szCs w:val="20"/>
              </w:rPr>
            </w:pPr>
            <w:r w:rsidRPr="00427C74">
              <w:rPr>
                <w:b w:val="0"/>
                <w:sz w:val="20"/>
                <w:szCs w:val="20"/>
              </w:rPr>
              <w:t>Communication and engagement processes should be reviewed with an emphasis placed on developing and applying active and meaningful approaches rather than passive methods only</w:t>
            </w:r>
          </w:p>
        </w:tc>
      </w:tr>
      <w:tr w:rsidR="007150A8" w:rsidRPr="00427C74" w:rsidTr="00B56ECE">
        <w:tc>
          <w:tcPr>
            <w:tcW w:w="5000" w:type="pct"/>
          </w:tcPr>
          <w:p w:rsidR="007150A8" w:rsidRPr="00427C74" w:rsidRDefault="007150A8" w:rsidP="00E65981">
            <w:pPr>
              <w:pStyle w:val="Heading6"/>
              <w:numPr>
                <w:ilvl w:val="0"/>
                <w:numId w:val="33"/>
              </w:numPr>
              <w:spacing w:before="0" w:after="40" w:line="276" w:lineRule="auto"/>
              <w:jc w:val="both"/>
              <w:rPr>
                <w:b w:val="0"/>
                <w:sz w:val="20"/>
                <w:szCs w:val="20"/>
              </w:rPr>
            </w:pPr>
            <w:r w:rsidRPr="00427C74">
              <w:rPr>
                <w:b w:val="0"/>
                <w:sz w:val="20"/>
                <w:szCs w:val="20"/>
              </w:rPr>
              <w:t xml:space="preserve">The Department should consider branding the component of its portfolio dealing with fire management and planned burning on public lands so that there is </w:t>
            </w:r>
            <w:r w:rsidR="00041EDC">
              <w:rPr>
                <w:b w:val="0"/>
                <w:sz w:val="20"/>
                <w:szCs w:val="20"/>
              </w:rPr>
              <w:t>a</w:t>
            </w:r>
            <w:r w:rsidRPr="00427C74">
              <w:rPr>
                <w:b w:val="0"/>
                <w:sz w:val="20"/>
                <w:szCs w:val="20"/>
              </w:rPr>
              <w:t>n enduring entity for building stronger and more sustainable relationships with the community</w:t>
            </w:r>
          </w:p>
        </w:tc>
      </w:tr>
    </w:tbl>
    <w:p w:rsidR="00D444E8" w:rsidRPr="00B56ECE" w:rsidRDefault="00D444E8">
      <w:pPr>
        <w:pStyle w:val="Body0"/>
        <w:rPr>
          <w:rFonts w:asciiTheme="minorHAnsi" w:hAnsiTheme="minorHAnsi"/>
        </w:rPr>
      </w:pPr>
    </w:p>
    <w:sectPr w:rsidR="00D444E8" w:rsidRPr="00B56ECE" w:rsidSect="0036125D">
      <w:headerReference w:type="default" r:id="rId9"/>
      <w:footerReference w:type="default" r:id="rId10"/>
      <w:headerReference w:type="first" r:id="rId11"/>
      <w:footerReference w:type="first" r:id="rId12"/>
      <w:pgSz w:w="11907" w:h="16840" w:code="9"/>
      <w:pgMar w:top="720" w:right="720" w:bottom="720" w:left="720" w:header="283" w:footer="1020" w:gutter="0"/>
      <w:cols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077" w:rsidRDefault="00616077">
      <w:r>
        <w:separator/>
      </w:r>
    </w:p>
  </w:endnote>
  <w:endnote w:type="continuationSeparator" w:id="0">
    <w:p w:rsidR="00616077" w:rsidRDefault="00616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25D" w:rsidRDefault="0036125D" w:rsidP="0036125D">
    <w:pPr>
      <w:pStyle w:val="ImprintText"/>
      <w:jc w:val="right"/>
    </w:pPr>
    <w:r w:rsidRPr="0091317E">
      <w:rPr>
        <w:rFonts w:ascii="Arial" w:hAnsi="Arial"/>
      </w:rPr>
      <w:t xml:space="preserve">© </w:t>
    </w:r>
    <w:r w:rsidRPr="006643F2">
      <w:t>The State of Victoria Department of Environment, Land, Water and Planning 2015</w:t>
    </w:r>
  </w:p>
  <w:p w:rsidR="0036125D" w:rsidRDefault="0036125D" w:rsidP="0036125D">
    <w:pPr>
      <w:pStyle w:val="Footer"/>
      <w:jc w:val="right"/>
      <w:rPr>
        <w:rFonts w:cs="Calibri"/>
        <w:color w:val="0000FF"/>
        <w:sz w:val="16"/>
        <w:szCs w:val="16"/>
        <w:u w:val="single"/>
      </w:rPr>
    </w:pPr>
    <w:r w:rsidRPr="00031FA3">
      <w:rPr>
        <w:rFonts w:cs="Calibri"/>
        <w:color w:val="000000"/>
        <w:sz w:val="16"/>
        <w:szCs w:val="16"/>
      </w:rPr>
      <w:t xml:space="preserve">This work is licensed under a </w:t>
    </w:r>
    <w:hyperlink r:id="rId1" w:history="1">
      <w:r w:rsidRPr="00031FA3">
        <w:rPr>
          <w:rFonts w:cs="Calibri"/>
          <w:color w:val="0000FF"/>
          <w:sz w:val="16"/>
          <w:szCs w:val="16"/>
          <w:u w:val="single"/>
        </w:rPr>
        <w:t>Creative Commons Attribution 4.0 International licence</w:t>
      </w:r>
    </w:hyperlink>
  </w:p>
  <w:p w:rsidR="0036125D" w:rsidRDefault="0036125D" w:rsidP="0036125D">
    <w:pPr>
      <w:pStyle w:val="Footer"/>
      <w:jc w:val="right"/>
    </w:pPr>
    <w:r>
      <w:rPr>
        <w:rFonts w:cs="Calibri"/>
        <w:noProof/>
        <w:color w:val="0000FF"/>
        <w:sz w:val="16"/>
        <w:szCs w:val="16"/>
        <w:u w:val="single"/>
        <w:lang w:eastAsia="en-AU"/>
      </w:rPr>
      <w:drawing>
        <wp:anchor distT="0" distB="0" distL="114300" distR="114300" simplePos="0" relativeHeight="251672576" behindDoc="0" locked="0" layoutInCell="1" allowOverlap="1" wp14:anchorId="03F21506" wp14:editId="791D44FE">
          <wp:simplePos x="0" y="0"/>
          <wp:positionH relativeFrom="column">
            <wp:posOffset>5954395</wp:posOffset>
          </wp:positionH>
          <wp:positionV relativeFrom="paragraph">
            <wp:posOffset>191135</wp:posOffset>
          </wp:positionV>
          <wp:extent cx="670560" cy="2317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0560" cy="231775"/>
                  </a:xfrm>
                  <a:prstGeom prst="rect">
                    <a:avLst/>
                  </a:prstGeom>
                  <a:noFill/>
                </pic:spPr>
              </pic:pic>
            </a:graphicData>
          </a:graphic>
          <wp14:sizeRelH relativeFrom="page">
            <wp14:pctWidth>0</wp14:pctWidth>
          </wp14:sizeRelH>
          <wp14:sizeRelV relativeFrom="page">
            <wp14:pctHeight>0</wp14:pctHeight>
          </wp14:sizeRelV>
        </wp:anchor>
      </w:drawing>
    </w:r>
    <w:r w:rsidRPr="00031FA3">
      <w:rPr>
        <w:rFonts w:cs="Calibri"/>
        <w:color w:val="000000"/>
        <w:sz w:val="16"/>
        <w:szCs w:val="16"/>
      </w:rPr>
      <w:t xml:space="preserve">To view a copy of this licence, visit </w:t>
    </w:r>
    <w:r w:rsidRPr="00031FA3">
      <w:rPr>
        <w:rFonts w:cs="Calibri"/>
        <w:color w:val="0000FF"/>
        <w:sz w:val="16"/>
        <w:szCs w:val="16"/>
        <w:u w:val="single"/>
      </w:rPr>
      <w:t>http://creativecommons.org/licenses/by/4.0/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5AD" w:rsidRDefault="005E3342" w:rsidP="002015AD">
    <w:pPr>
      <w:pStyle w:val="Footer"/>
    </w:pPr>
    <w:r>
      <w:rPr>
        <w:noProof/>
        <w:lang w:eastAsia="en-AU"/>
      </w:rPr>
      <w:drawing>
        <wp:anchor distT="0" distB="0" distL="114300" distR="114300" simplePos="0" relativeHeight="251660288" behindDoc="0" locked="0" layoutInCell="1" allowOverlap="1" wp14:anchorId="6FE2F625" wp14:editId="7109D21D">
          <wp:simplePos x="0" y="0"/>
          <wp:positionH relativeFrom="column">
            <wp:posOffset>4328519</wp:posOffset>
          </wp:positionH>
          <wp:positionV relativeFrom="paragraph">
            <wp:posOffset>30414</wp:posOffset>
          </wp:positionV>
          <wp:extent cx="1861200" cy="540000"/>
          <wp:effectExtent l="0" t="0" r="571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1200" cy="540000"/>
                  </a:xfrm>
                  <a:prstGeom prst="rect">
                    <a:avLst/>
                  </a:prstGeom>
                </pic:spPr>
              </pic:pic>
            </a:graphicData>
          </a:graphic>
          <wp14:sizeRelH relativeFrom="margin">
            <wp14:pctWidth>0</wp14:pctWidth>
          </wp14:sizeRelH>
          <wp14:sizeRelV relativeFrom="margin">
            <wp14:pctHeight>0</wp14:pctHeight>
          </wp14:sizeRelV>
        </wp:anchor>
      </w:drawing>
    </w:r>
    <w:r w:rsidR="0079489C" w:rsidRPr="0072604A">
      <w:rPr>
        <w:rFonts w:cs="Calibri"/>
        <w:color w:val="636466"/>
        <w:sz w:val="26"/>
      </w:rPr>
      <w:t>www.delwp.vic.gov.au</w:t>
    </w:r>
    <w:r w:rsidR="0079489C">
      <w:rPr>
        <w:noProof/>
        <w:lang w:eastAsia="en-AU"/>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077" w:rsidRDefault="00616077">
      <w:r>
        <w:separator/>
      </w:r>
    </w:p>
  </w:footnote>
  <w:footnote w:type="continuationSeparator" w:id="0">
    <w:p w:rsidR="00616077" w:rsidRDefault="006160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A63" w:rsidRDefault="003B369E" w:rsidP="00F83A6F">
    <w:pPr>
      <w:rPr>
        <w:lang w:val="en-US"/>
      </w:rPr>
    </w:pPr>
    <w:r>
      <w:rPr>
        <w:noProof/>
        <w:lang w:eastAsia="en-AU"/>
      </w:rPr>
      <w:drawing>
        <wp:anchor distT="0" distB="0" distL="114300" distR="114300" simplePos="0" relativeHeight="251659263" behindDoc="1" locked="0" layoutInCell="1" allowOverlap="1" wp14:anchorId="19E11A0F" wp14:editId="6BB162AD">
          <wp:simplePos x="0" y="0"/>
          <wp:positionH relativeFrom="column">
            <wp:posOffset>-86264</wp:posOffset>
          </wp:positionH>
          <wp:positionV relativeFrom="paragraph">
            <wp:posOffset>79087</wp:posOffset>
          </wp:positionV>
          <wp:extent cx="6788989" cy="681487"/>
          <wp:effectExtent l="0" t="0" r="0" b="4445"/>
          <wp:wrapNone/>
          <wp:docPr id="17" name="Picture 17"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8990" cy="681487"/>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ook w:val="01E0" w:firstRow="1" w:lastRow="1" w:firstColumn="1" w:lastColumn="1" w:noHBand="0" w:noVBand="0"/>
    </w:tblPr>
    <w:tblGrid>
      <w:gridCol w:w="9937"/>
    </w:tblGrid>
    <w:tr w:rsidR="00865A63" w:rsidRPr="00F83A6F" w:rsidTr="009E7A5D">
      <w:trPr>
        <w:trHeight w:val="887"/>
      </w:trPr>
      <w:tc>
        <w:tcPr>
          <w:tcW w:w="9937" w:type="dxa"/>
          <w:shd w:val="clear" w:color="auto" w:fill="auto"/>
        </w:tcPr>
        <w:p w:rsidR="00865A63" w:rsidRPr="00B56ECE" w:rsidRDefault="003B369E" w:rsidP="006964FA">
          <w:pPr>
            <w:pStyle w:val="CertHDWhite"/>
            <w:tabs>
              <w:tab w:val="left" w:pos="7513"/>
            </w:tabs>
            <w:rPr>
              <w:sz w:val="28"/>
              <w:szCs w:val="28"/>
            </w:rPr>
          </w:pPr>
          <w:r w:rsidRPr="00B56ECE">
            <w:rPr>
              <w:sz w:val="28"/>
              <w:szCs w:val="28"/>
            </w:rPr>
            <w:t>Independent investigation into the Lancefield-</w:t>
          </w:r>
          <w:proofErr w:type="spellStart"/>
          <w:r w:rsidRPr="00B56ECE">
            <w:rPr>
              <w:sz w:val="28"/>
              <w:szCs w:val="28"/>
            </w:rPr>
            <w:t>Cobaw</w:t>
          </w:r>
          <w:proofErr w:type="spellEnd"/>
          <w:r w:rsidRPr="00B56ECE">
            <w:rPr>
              <w:sz w:val="28"/>
              <w:szCs w:val="28"/>
            </w:rPr>
            <w:t xml:space="preserve"> Fire: </w:t>
          </w:r>
          <w:r w:rsidR="006964FA" w:rsidRPr="0036125D">
            <w:rPr>
              <w:b/>
              <w:sz w:val="28"/>
              <w:szCs w:val="28"/>
            </w:rPr>
            <w:t>Recommendations</w:t>
          </w:r>
        </w:p>
      </w:tc>
    </w:tr>
  </w:tbl>
  <w:p w:rsidR="009E66AE" w:rsidRPr="00E65981" w:rsidRDefault="009E66AE" w:rsidP="00E65981">
    <w:pPr>
      <w:pStyle w:val="HA"/>
      <w:spacing w:after="0" w:line="240" w:lineRule="auto"/>
      <w:jc w:val="both"/>
      <w:rPr>
        <w:b/>
        <w:sz w:val="6"/>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A63" w:rsidRDefault="000A5629" w:rsidP="0003050C">
    <w:pPr>
      <w:pStyle w:val="Header"/>
    </w:pPr>
    <w:r>
      <w:rPr>
        <w:noProof/>
        <w:lang w:eastAsia="en-AU"/>
      </w:rPr>
      <w:drawing>
        <wp:anchor distT="0" distB="0" distL="114300" distR="114300" simplePos="0" relativeHeight="251662336" behindDoc="1" locked="0" layoutInCell="1" allowOverlap="1" wp14:anchorId="0F236DA7" wp14:editId="5D325B3C">
          <wp:simplePos x="0" y="0"/>
          <wp:positionH relativeFrom="column">
            <wp:posOffset>-129396</wp:posOffset>
          </wp:positionH>
          <wp:positionV relativeFrom="paragraph">
            <wp:posOffset>320627</wp:posOffset>
          </wp:positionV>
          <wp:extent cx="6901132" cy="1153275"/>
          <wp:effectExtent l="0" t="0" r="0" b="8890"/>
          <wp:wrapNone/>
          <wp:docPr id="18" name="Picture 18"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1132" cy="1153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1A5AB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588EE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B8506A"/>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8056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7209A7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FDCFB8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2E233D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8C4C8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3B481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04F5F70"/>
    <w:multiLevelType w:val="hybridMultilevel"/>
    <w:tmpl w:val="47A4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BF83DE4"/>
    <w:multiLevelType w:val="hybridMultilevel"/>
    <w:tmpl w:val="219603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1E8A4D5E"/>
    <w:multiLevelType w:val="hybridMultilevel"/>
    <w:tmpl w:val="85A22372"/>
    <w:lvl w:ilvl="0" w:tplc="0C090001">
      <w:start w:val="1"/>
      <w:numFmt w:val="bullet"/>
      <w:lvlText w:val=""/>
      <w:lvlJc w:val="left"/>
      <w:pPr>
        <w:ind w:left="-198" w:hanging="360"/>
      </w:pPr>
      <w:rPr>
        <w:rFonts w:ascii="Symbol" w:hAnsi="Symbol" w:hint="default"/>
      </w:rPr>
    </w:lvl>
    <w:lvl w:ilvl="1" w:tplc="0C090003" w:tentative="1">
      <w:start w:val="1"/>
      <w:numFmt w:val="bullet"/>
      <w:lvlText w:val="o"/>
      <w:lvlJc w:val="left"/>
      <w:pPr>
        <w:ind w:left="522" w:hanging="360"/>
      </w:pPr>
      <w:rPr>
        <w:rFonts w:ascii="Courier New" w:hAnsi="Courier New" w:cs="Courier New" w:hint="default"/>
      </w:rPr>
    </w:lvl>
    <w:lvl w:ilvl="2" w:tplc="0C090005" w:tentative="1">
      <w:start w:val="1"/>
      <w:numFmt w:val="bullet"/>
      <w:lvlText w:val=""/>
      <w:lvlJc w:val="left"/>
      <w:pPr>
        <w:ind w:left="1242" w:hanging="360"/>
      </w:pPr>
      <w:rPr>
        <w:rFonts w:ascii="Wingdings" w:hAnsi="Wingdings" w:hint="default"/>
      </w:rPr>
    </w:lvl>
    <w:lvl w:ilvl="3" w:tplc="0C090001" w:tentative="1">
      <w:start w:val="1"/>
      <w:numFmt w:val="bullet"/>
      <w:lvlText w:val=""/>
      <w:lvlJc w:val="left"/>
      <w:pPr>
        <w:ind w:left="1962" w:hanging="360"/>
      </w:pPr>
      <w:rPr>
        <w:rFonts w:ascii="Symbol" w:hAnsi="Symbol" w:hint="default"/>
      </w:rPr>
    </w:lvl>
    <w:lvl w:ilvl="4" w:tplc="0C090003" w:tentative="1">
      <w:start w:val="1"/>
      <w:numFmt w:val="bullet"/>
      <w:lvlText w:val="o"/>
      <w:lvlJc w:val="left"/>
      <w:pPr>
        <w:ind w:left="2682" w:hanging="360"/>
      </w:pPr>
      <w:rPr>
        <w:rFonts w:ascii="Courier New" w:hAnsi="Courier New" w:cs="Courier New" w:hint="default"/>
      </w:rPr>
    </w:lvl>
    <w:lvl w:ilvl="5" w:tplc="0C090005" w:tentative="1">
      <w:start w:val="1"/>
      <w:numFmt w:val="bullet"/>
      <w:lvlText w:val=""/>
      <w:lvlJc w:val="left"/>
      <w:pPr>
        <w:ind w:left="3402" w:hanging="360"/>
      </w:pPr>
      <w:rPr>
        <w:rFonts w:ascii="Wingdings" w:hAnsi="Wingdings" w:hint="default"/>
      </w:rPr>
    </w:lvl>
    <w:lvl w:ilvl="6" w:tplc="0C090001" w:tentative="1">
      <w:start w:val="1"/>
      <w:numFmt w:val="bullet"/>
      <w:lvlText w:val=""/>
      <w:lvlJc w:val="left"/>
      <w:pPr>
        <w:ind w:left="4122" w:hanging="360"/>
      </w:pPr>
      <w:rPr>
        <w:rFonts w:ascii="Symbol" w:hAnsi="Symbol" w:hint="default"/>
      </w:rPr>
    </w:lvl>
    <w:lvl w:ilvl="7" w:tplc="0C090003" w:tentative="1">
      <w:start w:val="1"/>
      <w:numFmt w:val="bullet"/>
      <w:lvlText w:val="o"/>
      <w:lvlJc w:val="left"/>
      <w:pPr>
        <w:ind w:left="4842" w:hanging="360"/>
      </w:pPr>
      <w:rPr>
        <w:rFonts w:ascii="Courier New" w:hAnsi="Courier New" w:cs="Courier New" w:hint="default"/>
      </w:rPr>
    </w:lvl>
    <w:lvl w:ilvl="8" w:tplc="0C090005" w:tentative="1">
      <w:start w:val="1"/>
      <w:numFmt w:val="bullet"/>
      <w:lvlText w:val=""/>
      <w:lvlJc w:val="left"/>
      <w:pPr>
        <w:ind w:left="5562" w:hanging="360"/>
      </w:pPr>
      <w:rPr>
        <w:rFonts w:ascii="Wingdings" w:hAnsi="Wingdings" w:hint="default"/>
      </w:rPr>
    </w:lvl>
  </w:abstractNum>
  <w:abstractNum w:abstractNumId="15">
    <w:nsid w:val="25490E2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nsid w:val="2C061443"/>
    <w:multiLevelType w:val="hybridMultilevel"/>
    <w:tmpl w:val="291A2C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33BF5CCC"/>
    <w:multiLevelType w:val="hybridMultilevel"/>
    <w:tmpl w:val="9460C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348D4CF8"/>
    <w:multiLevelType w:val="hybridMultilevel"/>
    <w:tmpl w:val="ADAE5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5BE05D0"/>
    <w:multiLevelType w:val="hybridMultilevel"/>
    <w:tmpl w:val="F4B6A1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3C26347E"/>
    <w:multiLevelType w:val="hybridMultilevel"/>
    <w:tmpl w:val="E16691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54D41BAB"/>
    <w:multiLevelType w:val="hybridMultilevel"/>
    <w:tmpl w:val="3F146B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57CA2B86"/>
    <w:multiLevelType w:val="hybridMultilevel"/>
    <w:tmpl w:val="75BAE14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63B97FF0"/>
    <w:multiLevelType w:val="hybridMultilevel"/>
    <w:tmpl w:val="F5FA1D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F2F404C4">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73EC02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B0A11DA"/>
    <w:multiLevelType w:val="hybridMultilevel"/>
    <w:tmpl w:val="09B4BC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7CBD3D1A"/>
    <w:multiLevelType w:val="hybridMultilevel"/>
    <w:tmpl w:val="90FCBB98"/>
    <w:lvl w:ilvl="0" w:tplc="D9B23604">
      <w:start w:val="1"/>
      <w:numFmt w:val="decimal"/>
      <w:lvlText w:val="%1."/>
      <w:lvlJc w:val="left"/>
      <w:pPr>
        <w:tabs>
          <w:tab w:val="num" w:pos="720"/>
        </w:tabs>
        <w:ind w:left="720" w:hanging="360"/>
      </w:pPr>
    </w:lvl>
    <w:lvl w:ilvl="1" w:tplc="889668CA">
      <w:start w:val="1251"/>
      <w:numFmt w:val="bullet"/>
      <w:lvlText w:val="•"/>
      <w:lvlJc w:val="left"/>
      <w:pPr>
        <w:tabs>
          <w:tab w:val="num" w:pos="1440"/>
        </w:tabs>
        <w:ind w:left="1440" w:hanging="360"/>
      </w:pPr>
      <w:rPr>
        <w:rFonts w:ascii="Arial" w:hAnsi="Arial" w:hint="default"/>
      </w:rPr>
    </w:lvl>
    <w:lvl w:ilvl="2" w:tplc="9904C248" w:tentative="1">
      <w:start w:val="1"/>
      <w:numFmt w:val="decimal"/>
      <w:lvlText w:val="%3."/>
      <w:lvlJc w:val="left"/>
      <w:pPr>
        <w:tabs>
          <w:tab w:val="num" w:pos="2160"/>
        </w:tabs>
        <w:ind w:left="2160" w:hanging="360"/>
      </w:pPr>
    </w:lvl>
    <w:lvl w:ilvl="3" w:tplc="DE921A62" w:tentative="1">
      <w:start w:val="1"/>
      <w:numFmt w:val="decimal"/>
      <w:lvlText w:val="%4."/>
      <w:lvlJc w:val="left"/>
      <w:pPr>
        <w:tabs>
          <w:tab w:val="num" w:pos="2880"/>
        </w:tabs>
        <w:ind w:left="2880" w:hanging="360"/>
      </w:pPr>
    </w:lvl>
    <w:lvl w:ilvl="4" w:tplc="7CF0A462" w:tentative="1">
      <w:start w:val="1"/>
      <w:numFmt w:val="decimal"/>
      <w:lvlText w:val="%5."/>
      <w:lvlJc w:val="left"/>
      <w:pPr>
        <w:tabs>
          <w:tab w:val="num" w:pos="3600"/>
        </w:tabs>
        <w:ind w:left="3600" w:hanging="360"/>
      </w:pPr>
    </w:lvl>
    <w:lvl w:ilvl="5" w:tplc="F5369CA2" w:tentative="1">
      <w:start w:val="1"/>
      <w:numFmt w:val="decimal"/>
      <w:lvlText w:val="%6."/>
      <w:lvlJc w:val="left"/>
      <w:pPr>
        <w:tabs>
          <w:tab w:val="num" w:pos="4320"/>
        </w:tabs>
        <w:ind w:left="4320" w:hanging="360"/>
      </w:pPr>
    </w:lvl>
    <w:lvl w:ilvl="6" w:tplc="6A2C8370" w:tentative="1">
      <w:start w:val="1"/>
      <w:numFmt w:val="decimal"/>
      <w:lvlText w:val="%7."/>
      <w:lvlJc w:val="left"/>
      <w:pPr>
        <w:tabs>
          <w:tab w:val="num" w:pos="5040"/>
        </w:tabs>
        <w:ind w:left="5040" w:hanging="360"/>
      </w:pPr>
    </w:lvl>
    <w:lvl w:ilvl="7" w:tplc="D6E4A97A" w:tentative="1">
      <w:start w:val="1"/>
      <w:numFmt w:val="decimal"/>
      <w:lvlText w:val="%8."/>
      <w:lvlJc w:val="left"/>
      <w:pPr>
        <w:tabs>
          <w:tab w:val="num" w:pos="5760"/>
        </w:tabs>
        <w:ind w:left="5760" w:hanging="360"/>
      </w:pPr>
    </w:lvl>
    <w:lvl w:ilvl="8" w:tplc="5894862A" w:tentative="1">
      <w:start w:val="1"/>
      <w:numFmt w:val="decimal"/>
      <w:lvlText w:val="%9."/>
      <w:lvlJc w:val="left"/>
      <w:pPr>
        <w:tabs>
          <w:tab w:val="num" w:pos="6480"/>
        </w:tabs>
        <w:ind w:left="6480" w:hanging="36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26"/>
  </w:num>
  <w:num w:numId="14">
    <w:abstractNumId w:val="17"/>
  </w:num>
  <w:num w:numId="15">
    <w:abstractNumId w:val="25"/>
  </w:num>
  <w:num w:numId="16">
    <w:abstractNumId w:val="11"/>
  </w:num>
  <w:num w:numId="17">
    <w:abstractNumId w:val="25"/>
  </w:num>
  <w:num w:numId="18">
    <w:abstractNumId w:val="25"/>
  </w:num>
  <w:num w:numId="19">
    <w:abstractNumId w:val="25"/>
  </w:num>
  <w:num w:numId="20">
    <w:abstractNumId w:val="10"/>
  </w:num>
  <w:num w:numId="21">
    <w:abstractNumId w:val="12"/>
  </w:num>
  <w:num w:numId="22">
    <w:abstractNumId w:val="19"/>
  </w:num>
  <w:num w:numId="23">
    <w:abstractNumId w:val="28"/>
  </w:num>
  <w:num w:numId="24">
    <w:abstractNumId w:val="22"/>
  </w:num>
  <w:num w:numId="25">
    <w:abstractNumId w:val="20"/>
  </w:num>
  <w:num w:numId="26">
    <w:abstractNumId w:val="14"/>
  </w:num>
  <w:num w:numId="27">
    <w:abstractNumId w:val="13"/>
  </w:num>
  <w:num w:numId="28">
    <w:abstractNumId w:val="24"/>
  </w:num>
  <w:num w:numId="29">
    <w:abstractNumId w:val="18"/>
  </w:num>
  <w:num w:numId="30">
    <w:abstractNumId w:val="16"/>
  </w:num>
  <w:num w:numId="31">
    <w:abstractNumId w:val="27"/>
  </w:num>
  <w:num w:numId="32">
    <w:abstractNumId w:val="21"/>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59"/>
    <w:rsid w:val="000011D3"/>
    <w:rsid w:val="00012793"/>
    <w:rsid w:val="00013D7A"/>
    <w:rsid w:val="0003050C"/>
    <w:rsid w:val="00034D96"/>
    <w:rsid w:val="0003535F"/>
    <w:rsid w:val="00041EDC"/>
    <w:rsid w:val="0004692B"/>
    <w:rsid w:val="00055FEF"/>
    <w:rsid w:val="00063E31"/>
    <w:rsid w:val="0007414F"/>
    <w:rsid w:val="0008754B"/>
    <w:rsid w:val="00091E87"/>
    <w:rsid w:val="0009699E"/>
    <w:rsid w:val="000A5629"/>
    <w:rsid w:val="000C3259"/>
    <w:rsid w:val="000C39E4"/>
    <w:rsid w:val="000D2C8A"/>
    <w:rsid w:val="00120C40"/>
    <w:rsid w:val="00120F3F"/>
    <w:rsid w:val="00124D70"/>
    <w:rsid w:val="00125376"/>
    <w:rsid w:val="00135491"/>
    <w:rsid w:val="00154577"/>
    <w:rsid w:val="00177115"/>
    <w:rsid w:val="00181FBC"/>
    <w:rsid w:val="001A0750"/>
    <w:rsid w:val="001A243B"/>
    <w:rsid w:val="001B42A3"/>
    <w:rsid w:val="001C3014"/>
    <w:rsid w:val="001E2024"/>
    <w:rsid w:val="002015AD"/>
    <w:rsid w:val="0020255B"/>
    <w:rsid w:val="002122D2"/>
    <w:rsid w:val="00217D52"/>
    <w:rsid w:val="00236DA4"/>
    <w:rsid w:val="00246D68"/>
    <w:rsid w:val="002526EA"/>
    <w:rsid w:val="00261DCB"/>
    <w:rsid w:val="00271B91"/>
    <w:rsid w:val="00285925"/>
    <w:rsid w:val="002B696E"/>
    <w:rsid w:val="002C12E4"/>
    <w:rsid w:val="002C3A96"/>
    <w:rsid w:val="002C4BC3"/>
    <w:rsid w:val="002C5BA2"/>
    <w:rsid w:val="002D3CC8"/>
    <w:rsid w:val="002D680B"/>
    <w:rsid w:val="002E2EC1"/>
    <w:rsid w:val="00321F9E"/>
    <w:rsid w:val="00322EAC"/>
    <w:rsid w:val="00330679"/>
    <w:rsid w:val="003550CD"/>
    <w:rsid w:val="0036125D"/>
    <w:rsid w:val="003B369E"/>
    <w:rsid w:val="003C2962"/>
    <w:rsid w:val="003C598F"/>
    <w:rsid w:val="003E0336"/>
    <w:rsid w:val="003E0B9A"/>
    <w:rsid w:val="003F437F"/>
    <w:rsid w:val="003F5A5C"/>
    <w:rsid w:val="00404EF3"/>
    <w:rsid w:val="00433466"/>
    <w:rsid w:val="0043348E"/>
    <w:rsid w:val="00433F3C"/>
    <w:rsid w:val="004426E1"/>
    <w:rsid w:val="00455AC0"/>
    <w:rsid w:val="0047538B"/>
    <w:rsid w:val="004969C1"/>
    <w:rsid w:val="004E4BDF"/>
    <w:rsid w:val="004E6888"/>
    <w:rsid w:val="0050769F"/>
    <w:rsid w:val="00512102"/>
    <w:rsid w:val="005229C6"/>
    <w:rsid w:val="00524C52"/>
    <w:rsid w:val="00526849"/>
    <w:rsid w:val="005304F7"/>
    <w:rsid w:val="00534B38"/>
    <w:rsid w:val="00540762"/>
    <w:rsid w:val="00544B68"/>
    <w:rsid w:val="00557AFB"/>
    <w:rsid w:val="00557B17"/>
    <w:rsid w:val="0057117A"/>
    <w:rsid w:val="00573E23"/>
    <w:rsid w:val="00575F3A"/>
    <w:rsid w:val="00582724"/>
    <w:rsid w:val="005B3CE8"/>
    <w:rsid w:val="005C6FBE"/>
    <w:rsid w:val="005E3342"/>
    <w:rsid w:val="005E3EE8"/>
    <w:rsid w:val="00603134"/>
    <w:rsid w:val="00606451"/>
    <w:rsid w:val="00616077"/>
    <w:rsid w:val="00623482"/>
    <w:rsid w:val="006322A4"/>
    <w:rsid w:val="00644C88"/>
    <w:rsid w:val="006537F8"/>
    <w:rsid w:val="00656186"/>
    <w:rsid w:val="006741C5"/>
    <w:rsid w:val="006750E0"/>
    <w:rsid w:val="00675636"/>
    <w:rsid w:val="006964FA"/>
    <w:rsid w:val="006B4688"/>
    <w:rsid w:val="006D53AB"/>
    <w:rsid w:val="006F53DB"/>
    <w:rsid w:val="006F707D"/>
    <w:rsid w:val="0070362A"/>
    <w:rsid w:val="007150A8"/>
    <w:rsid w:val="0072604A"/>
    <w:rsid w:val="00731631"/>
    <w:rsid w:val="007429A1"/>
    <w:rsid w:val="00752E36"/>
    <w:rsid w:val="00756A07"/>
    <w:rsid w:val="007702BD"/>
    <w:rsid w:val="0079021A"/>
    <w:rsid w:val="0079489C"/>
    <w:rsid w:val="00795D51"/>
    <w:rsid w:val="007A2B53"/>
    <w:rsid w:val="007B0E45"/>
    <w:rsid w:val="007B1469"/>
    <w:rsid w:val="007B62F8"/>
    <w:rsid w:val="007B6E26"/>
    <w:rsid w:val="007C02BD"/>
    <w:rsid w:val="007E3E33"/>
    <w:rsid w:val="007F5211"/>
    <w:rsid w:val="0081579C"/>
    <w:rsid w:val="00824C60"/>
    <w:rsid w:val="0083541B"/>
    <w:rsid w:val="00856888"/>
    <w:rsid w:val="00865A63"/>
    <w:rsid w:val="00872BAF"/>
    <w:rsid w:val="008732EE"/>
    <w:rsid w:val="008832F9"/>
    <w:rsid w:val="008A3B87"/>
    <w:rsid w:val="008A6BBA"/>
    <w:rsid w:val="008B61B5"/>
    <w:rsid w:val="008C1B1D"/>
    <w:rsid w:val="008F4932"/>
    <w:rsid w:val="009256BC"/>
    <w:rsid w:val="00926BDE"/>
    <w:rsid w:val="00927E6A"/>
    <w:rsid w:val="00953344"/>
    <w:rsid w:val="00960D80"/>
    <w:rsid w:val="00962D3B"/>
    <w:rsid w:val="00972191"/>
    <w:rsid w:val="00981EA2"/>
    <w:rsid w:val="009872FB"/>
    <w:rsid w:val="009955B1"/>
    <w:rsid w:val="00996578"/>
    <w:rsid w:val="009A2885"/>
    <w:rsid w:val="009C3B5A"/>
    <w:rsid w:val="009E666D"/>
    <w:rsid w:val="009E66AE"/>
    <w:rsid w:val="009E7A5D"/>
    <w:rsid w:val="009F1C26"/>
    <w:rsid w:val="009F2D92"/>
    <w:rsid w:val="00A0021E"/>
    <w:rsid w:val="00A03F08"/>
    <w:rsid w:val="00A04614"/>
    <w:rsid w:val="00A11FE6"/>
    <w:rsid w:val="00A357C2"/>
    <w:rsid w:val="00A36BC9"/>
    <w:rsid w:val="00A37BFA"/>
    <w:rsid w:val="00A4593C"/>
    <w:rsid w:val="00A56C4D"/>
    <w:rsid w:val="00A6450E"/>
    <w:rsid w:val="00A67D11"/>
    <w:rsid w:val="00A730A4"/>
    <w:rsid w:val="00A8355F"/>
    <w:rsid w:val="00A83A7C"/>
    <w:rsid w:val="00A85593"/>
    <w:rsid w:val="00A8709B"/>
    <w:rsid w:val="00A9394D"/>
    <w:rsid w:val="00AA6401"/>
    <w:rsid w:val="00AC0ECF"/>
    <w:rsid w:val="00AF4DB4"/>
    <w:rsid w:val="00B068DA"/>
    <w:rsid w:val="00B077CF"/>
    <w:rsid w:val="00B137B4"/>
    <w:rsid w:val="00B24A07"/>
    <w:rsid w:val="00B37596"/>
    <w:rsid w:val="00B475BF"/>
    <w:rsid w:val="00B56ECE"/>
    <w:rsid w:val="00B87CF6"/>
    <w:rsid w:val="00B95745"/>
    <w:rsid w:val="00BB37E4"/>
    <w:rsid w:val="00BC0B9F"/>
    <w:rsid w:val="00BD4BC3"/>
    <w:rsid w:val="00BE2F5F"/>
    <w:rsid w:val="00BF62F9"/>
    <w:rsid w:val="00C061DD"/>
    <w:rsid w:val="00C12A10"/>
    <w:rsid w:val="00C172D8"/>
    <w:rsid w:val="00C273B5"/>
    <w:rsid w:val="00C36059"/>
    <w:rsid w:val="00C403BA"/>
    <w:rsid w:val="00C46B5E"/>
    <w:rsid w:val="00C651CE"/>
    <w:rsid w:val="00C73267"/>
    <w:rsid w:val="00C772CA"/>
    <w:rsid w:val="00C80B06"/>
    <w:rsid w:val="00C86B17"/>
    <w:rsid w:val="00CA19B7"/>
    <w:rsid w:val="00CD5180"/>
    <w:rsid w:val="00CE10A1"/>
    <w:rsid w:val="00CF5E50"/>
    <w:rsid w:val="00D031F0"/>
    <w:rsid w:val="00D033C6"/>
    <w:rsid w:val="00D0706F"/>
    <w:rsid w:val="00D114E4"/>
    <w:rsid w:val="00D11924"/>
    <w:rsid w:val="00D13102"/>
    <w:rsid w:val="00D33BE6"/>
    <w:rsid w:val="00D444E8"/>
    <w:rsid w:val="00D54DE0"/>
    <w:rsid w:val="00D57FF0"/>
    <w:rsid w:val="00D634D8"/>
    <w:rsid w:val="00DA0042"/>
    <w:rsid w:val="00DC68E1"/>
    <w:rsid w:val="00DD0AB3"/>
    <w:rsid w:val="00DD3436"/>
    <w:rsid w:val="00DE2624"/>
    <w:rsid w:val="00DE5117"/>
    <w:rsid w:val="00DF6665"/>
    <w:rsid w:val="00E07718"/>
    <w:rsid w:val="00E15BD0"/>
    <w:rsid w:val="00E2394C"/>
    <w:rsid w:val="00E30FFD"/>
    <w:rsid w:val="00E325A1"/>
    <w:rsid w:val="00E36621"/>
    <w:rsid w:val="00E464E4"/>
    <w:rsid w:val="00E51072"/>
    <w:rsid w:val="00E56D27"/>
    <w:rsid w:val="00E6278D"/>
    <w:rsid w:val="00E65981"/>
    <w:rsid w:val="00E8448C"/>
    <w:rsid w:val="00E9178F"/>
    <w:rsid w:val="00EA31C2"/>
    <w:rsid w:val="00EB2BB2"/>
    <w:rsid w:val="00EB75EA"/>
    <w:rsid w:val="00EC446A"/>
    <w:rsid w:val="00EC4DCD"/>
    <w:rsid w:val="00EC6F19"/>
    <w:rsid w:val="00F0013D"/>
    <w:rsid w:val="00F13B95"/>
    <w:rsid w:val="00F15CF7"/>
    <w:rsid w:val="00F27E16"/>
    <w:rsid w:val="00F46148"/>
    <w:rsid w:val="00F54CCE"/>
    <w:rsid w:val="00F67782"/>
    <w:rsid w:val="00F708A6"/>
    <w:rsid w:val="00F74678"/>
    <w:rsid w:val="00F83A6F"/>
    <w:rsid w:val="00F845F4"/>
    <w:rsid w:val="00F910D5"/>
    <w:rsid w:val="00F930FD"/>
    <w:rsid w:val="00FA2BC8"/>
    <w:rsid w:val="00FC01F8"/>
    <w:rsid w:val="00FD34FA"/>
    <w:rsid w:val="00FD674C"/>
    <w:rsid w:val="00FE229F"/>
    <w:rsid w:val="00FE4EB7"/>
    <w:rsid w:val="00FF0F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2C12E4"/>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link w:val="Heading6Char"/>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2C12E4"/>
    <w:pPr>
      <w:spacing w:after="113" w:line="240" w:lineRule="atLeast"/>
    </w:pPr>
    <w:rPr>
      <w:rFonts w:ascii="Calibri" w:hAnsi="Calibri" w:cs="Arial"/>
      <w:sz w:val="22"/>
      <w:szCs w:val="24"/>
      <w:lang w:eastAsia="en-US"/>
    </w:rPr>
  </w:style>
  <w:style w:type="paragraph" w:customStyle="1" w:styleId="Bullet">
    <w:name w:val="_Bullet"/>
    <w:link w:val="BulletChar"/>
    <w:qFormat/>
    <w:rsid w:val="002C12E4"/>
    <w:pPr>
      <w:numPr>
        <w:numId w:val="16"/>
      </w:numPr>
      <w:tabs>
        <w:tab w:val="left" w:pos="170"/>
      </w:tabs>
      <w:spacing w:after="113" w:line="220" w:lineRule="atLeast"/>
    </w:pPr>
    <w:rPr>
      <w:rFonts w:ascii="Calibri" w:hAnsi="Calibri" w:cs="Arial"/>
      <w:sz w:val="22"/>
      <w:szCs w:val="24"/>
      <w:lang w:eastAsia="en-US"/>
    </w:rPr>
  </w:style>
  <w:style w:type="character" w:customStyle="1" w:styleId="BulletChar">
    <w:name w:val="_Bullet Char"/>
    <w:link w:val="Bullet"/>
    <w:rsid w:val="002C12E4"/>
    <w:rPr>
      <w:rFonts w:ascii="Calibri" w:hAnsi="Calibri" w:cs="Arial"/>
      <w:sz w:val="22"/>
      <w:szCs w:val="24"/>
      <w:lang w:eastAsia="en-US"/>
    </w:rPr>
  </w:style>
  <w:style w:type="paragraph" w:customStyle="1" w:styleId="Bullet2">
    <w:name w:val="_Bullet2"/>
    <w:basedOn w:val="Bullet"/>
    <w:qFormat/>
    <w:rsid w:val="00D033C6"/>
    <w:pPr>
      <w:numPr>
        <w:ilvl w:val="1"/>
        <w:numId w:val="19"/>
      </w:numPr>
      <w:tabs>
        <w:tab w:val="clear" w:pos="170"/>
      </w:tabs>
    </w:pPr>
  </w:style>
  <w:style w:type="paragraph" w:customStyle="1" w:styleId="Caption">
    <w:name w:val="_Caption"/>
    <w:qFormat/>
    <w:rsid w:val="002C12E4"/>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7429A1"/>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2C12E4"/>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qFormat/>
    <w:rsid w:val="007429A1"/>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2C12E4"/>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2C12E4"/>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2C12E4"/>
    <w:pPr>
      <w:spacing w:before="57" w:after="57" w:line="220" w:lineRule="atLeast"/>
    </w:pPr>
    <w:rPr>
      <w:rFonts w:ascii="Calibri" w:hAnsi="Calibri" w:cs="Arial"/>
      <w:b/>
      <w:i/>
      <w:sz w:val="22"/>
      <w:szCs w:val="24"/>
      <w:lang w:eastAsia="en-US"/>
    </w:rPr>
  </w:style>
  <w:style w:type="paragraph" w:customStyle="1" w:styleId="Pullout">
    <w:name w:val="_Pullout"/>
    <w:qFormat/>
    <w:rsid w:val="007429A1"/>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2C12E4"/>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2C12E4"/>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2C12E4"/>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824C60"/>
    <w:pPr>
      <w:pBdr>
        <w:top w:val="dotted" w:sz="12" w:space="1" w:color="228591"/>
      </w:pBdr>
    </w:pPr>
    <w:rPr>
      <w:rFonts w:ascii="Calibri" w:hAnsi="Calibri" w:cs="Arial"/>
      <w:color w:val="228591"/>
      <w:sz w:val="8"/>
      <w:szCs w:val="8"/>
      <w:lang w:eastAsia="en-US"/>
    </w:rPr>
  </w:style>
  <w:style w:type="paragraph" w:customStyle="1" w:styleId="ImprintText">
    <w:name w:val="_ImprintText"/>
    <w:uiPriority w:val="9"/>
    <w:rsid w:val="002C12E4"/>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semiHidden/>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824C60"/>
    <w:rPr>
      <w:rFonts w:ascii="Calibri" w:hAnsi="Calibri"/>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7429A1"/>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429A1"/>
    <w:pPr>
      <w:spacing w:before="240" w:after="60"/>
      <w:jc w:val="center"/>
      <w:outlineLvl w:val="0"/>
    </w:pPr>
    <w:rPr>
      <w:rFonts w:cs="Arial"/>
      <w:b/>
      <w:bCs/>
      <w:kern w:val="28"/>
      <w:sz w:val="32"/>
      <w:szCs w:val="32"/>
    </w:rPr>
  </w:style>
  <w:style w:type="paragraph" w:customStyle="1" w:styleId="ImprintBreak2">
    <w:name w:val="_ImprintBreak2"/>
    <w:uiPriority w:val="9"/>
    <w:rsid w:val="00824C60"/>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824C60"/>
    <w:pPr>
      <w:ind w:left="-34" w:hanging="694"/>
    </w:pPr>
    <w:rPr>
      <w:rFonts w:ascii="Calibri" w:hAnsi="Calibri" w:cs="Arial"/>
      <w:color w:val="636466"/>
      <w:sz w:val="54"/>
      <w:szCs w:val="24"/>
      <w:lang w:eastAsia="en-US"/>
    </w:rPr>
  </w:style>
  <w:style w:type="paragraph" w:styleId="ListParagraph">
    <w:name w:val="List Paragraph"/>
    <w:basedOn w:val="Normal"/>
    <w:uiPriority w:val="1"/>
    <w:qFormat/>
    <w:rsid w:val="002C3A96"/>
    <w:pPr>
      <w:ind w:left="720"/>
      <w:contextualSpacing/>
    </w:pPr>
  </w:style>
  <w:style w:type="paragraph" w:customStyle="1" w:styleId="Body0">
    <w:name w:val="Body"/>
    <w:rsid w:val="000A5629"/>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table" w:customStyle="1" w:styleId="DELWPTable">
    <w:name w:val="DELWP_Table"/>
    <w:basedOn w:val="TableNormal"/>
    <w:uiPriority w:val="99"/>
    <w:rsid w:val="007150A8"/>
    <w:tblPr>
      <w:tblInd w:w="108" w:type="dxa"/>
      <w:tblBorders>
        <w:bottom w:val="single" w:sz="4" w:space="0" w:color="228591"/>
        <w:insideH w:val="single" w:sz="4" w:space="0" w:color="228591"/>
      </w:tblBorders>
    </w:tblPr>
    <w:tblStylePr w:type="firstRow">
      <w:tblPr/>
      <w:tcPr>
        <w:shd w:val="clear" w:color="auto" w:fill="228591"/>
      </w:tcPr>
    </w:tblStylePr>
  </w:style>
  <w:style w:type="character" w:customStyle="1" w:styleId="Heading6Char">
    <w:name w:val="Heading 6 Char"/>
    <w:basedOn w:val="DefaultParagraphFont"/>
    <w:link w:val="Heading6"/>
    <w:rsid w:val="007150A8"/>
    <w:rPr>
      <w:rFonts w:ascii="Calibri" w:hAnsi="Calibri"/>
      <w:b/>
      <w:bC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2C12E4"/>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link w:val="Heading6Char"/>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2C12E4"/>
    <w:pPr>
      <w:spacing w:after="113" w:line="240" w:lineRule="atLeast"/>
    </w:pPr>
    <w:rPr>
      <w:rFonts w:ascii="Calibri" w:hAnsi="Calibri" w:cs="Arial"/>
      <w:sz w:val="22"/>
      <w:szCs w:val="24"/>
      <w:lang w:eastAsia="en-US"/>
    </w:rPr>
  </w:style>
  <w:style w:type="paragraph" w:customStyle="1" w:styleId="Bullet">
    <w:name w:val="_Bullet"/>
    <w:link w:val="BulletChar"/>
    <w:qFormat/>
    <w:rsid w:val="002C12E4"/>
    <w:pPr>
      <w:numPr>
        <w:numId w:val="16"/>
      </w:numPr>
      <w:tabs>
        <w:tab w:val="left" w:pos="170"/>
      </w:tabs>
      <w:spacing w:after="113" w:line="220" w:lineRule="atLeast"/>
    </w:pPr>
    <w:rPr>
      <w:rFonts w:ascii="Calibri" w:hAnsi="Calibri" w:cs="Arial"/>
      <w:sz w:val="22"/>
      <w:szCs w:val="24"/>
      <w:lang w:eastAsia="en-US"/>
    </w:rPr>
  </w:style>
  <w:style w:type="character" w:customStyle="1" w:styleId="BulletChar">
    <w:name w:val="_Bullet Char"/>
    <w:link w:val="Bullet"/>
    <w:rsid w:val="002C12E4"/>
    <w:rPr>
      <w:rFonts w:ascii="Calibri" w:hAnsi="Calibri" w:cs="Arial"/>
      <w:sz w:val="22"/>
      <w:szCs w:val="24"/>
      <w:lang w:eastAsia="en-US"/>
    </w:rPr>
  </w:style>
  <w:style w:type="paragraph" w:customStyle="1" w:styleId="Bullet2">
    <w:name w:val="_Bullet2"/>
    <w:basedOn w:val="Bullet"/>
    <w:qFormat/>
    <w:rsid w:val="00D033C6"/>
    <w:pPr>
      <w:numPr>
        <w:ilvl w:val="1"/>
        <w:numId w:val="19"/>
      </w:numPr>
      <w:tabs>
        <w:tab w:val="clear" w:pos="170"/>
      </w:tabs>
    </w:pPr>
  </w:style>
  <w:style w:type="paragraph" w:customStyle="1" w:styleId="Caption">
    <w:name w:val="_Caption"/>
    <w:qFormat/>
    <w:rsid w:val="002C12E4"/>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7429A1"/>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2C12E4"/>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qFormat/>
    <w:rsid w:val="007429A1"/>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2C12E4"/>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2C12E4"/>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2C12E4"/>
    <w:pPr>
      <w:spacing w:before="57" w:after="57" w:line="220" w:lineRule="atLeast"/>
    </w:pPr>
    <w:rPr>
      <w:rFonts w:ascii="Calibri" w:hAnsi="Calibri" w:cs="Arial"/>
      <w:b/>
      <w:i/>
      <w:sz w:val="22"/>
      <w:szCs w:val="24"/>
      <w:lang w:eastAsia="en-US"/>
    </w:rPr>
  </w:style>
  <w:style w:type="paragraph" w:customStyle="1" w:styleId="Pullout">
    <w:name w:val="_Pullout"/>
    <w:qFormat/>
    <w:rsid w:val="007429A1"/>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2C12E4"/>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2C12E4"/>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2C12E4"/>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824C60"/>
    <w:pPr>
      <w:pBdr>
        <w:top w:val="dotted" w:sz="12" w:space="1" w:color="228591"/>
      </w:pBdr>
    </w:pPr>
    <w:rPr>
      <w:rFonts w:ascii="Calibri" w:hAnsi="Calibri" w:cs="Arial"/>
      <w:color w:val="228591"/>
      <w:sz w:val="8"/>
      <w:szCs w:val="8"/>
      <w:lang w:eastAsia="en-US"/>
    </w:rPr>
  </w:style>
  <w:style w:type="paragraph" w:customStyle="1" w:styleId="ImprintText">
    <w:name w:val="_ImprintText"/>
    <w:uiPriority w:val="9"/>
    <w:rsid w:val="002C12E4"/>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semiHidden/>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824C60"/>
    <w:rPr>
      <w:rFonts w:ascii="Calibri" w:hAnsi="Calibri"/>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7429A1"/>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429A1"/>
    <w:pPr>
      <w:spacing w:before="240" w:after="60"/>
      <w:jc w:val="center"/>
      <w:outlineLvl w:val="0"/>
    </w:pPr>
    <w:rPr>
      <w:rFonts w:cs="Arial"/>
      <w:b/>
      <w:bCs/>
      <w:kern w:val="28"/>
      <w:sz w:val="32"/>
      <w:szCs w:val="32"/>
    </w:rPr>
  </w:style>
  <w:style w:type="paragraph" w:customStyle="1" w:styleId="ImprintBreak2">
    <w:name w:val="_ImprintBreak2"/>
    <w:uiPriority w:val="9"/>
    <w:rsid w:val="00824C60"/>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824C60"/>
    <w:pPr>
      <w:ind w:left="-34" w:hanging="694"/>
    </w:pPr>
    <w:rPr>
      <w:rFonts w:ascii="Calibri" w:hAnsi="Calibri" w:cs="Arial"/>
      <w:color w:val="636466"/>
      <w:sz w:val="54"/>
      <w:szCs w:val="24"/>
      <w:lang w:eastAsia="en-US"/>
    </w:rPr>
  </w:style>
  <w:style w:type="paragraph" w:styleId="ListParagraph">
    <w:name w:val="List Paragraph"/>
    <w:basedOn w:val="Normal"/>
    <w:uiPriority w:val="1"/>
    <w:qFormat/>
    <w:rsid w:val="002C3A96"/>
    <w:pPr>
      <w:ind w:left="720"/>
      <w:contextualSpacing/>
    </w:pPr>
  </w:style>
  <w:style w:type="paragraph" w:customStyle="1" w:styleId="Body0">
    <w:name w:val="Body"/>
    <w:rsid w:val="000A5629"/>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table" w:customStyle="1" w:styleId="DELWPTable">
    <w:name w:val="DELWP_Table"/>
    <w:basedOn w:val="TableNormal"/>
    <w:uiPriority w:val="99"/>
    <w:rsid w:val="007150A8"/>
    <w:tblPr>
      <w:tblInd w:w="108" w:type="dxa"/>
      <w:tblBorders>
        <w:bottom w:val="single" w:sz="4" w:space="0" w:color="228591"/>
        <w:insideH w:val="single" w:sz="4" w:space="0" w:color="228591"/>
      </w:tblBorders>
    </w:tblPr>
    <w:tblStylePr w:type="firstRow">
      <w:tblPr/>
      <w:tcPr>
        <w:shd w:val="clear" w:color="auto" w:fill="228591"/>
      </w:tcPr>
    </w:tblStylePr>
  </w:style>
  <w:style w:type="character" w:customStyle="1" w:styleId="Heading6Char">
    <w:name w:val="Heading 6 Char"/>
    <w:basedOn w:val="DefaultParagraphFont"/>
    <w:link w:val="Heading6"/>
    <w:rsid w:val="007150A8"/>
    <w:rPr>
      <w:rFonts w:ascii="Calibri" w:hAnsi="Calibri"/>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1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creativecommons.org/licenses/by/4.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FactSheet%20full%20measure%20DEPI%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53CD3-5BB8-47F2-8F47-78F8922E7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full measure DEPI .dotx</Template>
  <TotalTime>0</TotalTime>
  <Pages>2</Pages>
  <Words>974</Words>
  <Characters>5556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2017-02-02T04:24:00Z</dcterms:created>
  <dcterms:modified xsi:type="dcterms:W3CDTF">2017-02-02T04:24:00Z</dcterms:modified>
</cp:coreProperties>
</file>