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113" w:rsidRPr="00824113" w:rsidRDefault="00824113" w:rsidP="001005B5">
      <w:pPr>
        <w:pStyle w:val="Introquote01"/>
        <w:rPr>
          <w:rFonts w:ascii="Calibri" w:hAnsi="Calibri"/>
          <w:b/>
          <w:sz w:val="28"/>
          <w:szCs w:val="28"/>
        </w:rPr>
      </w:pPr>
      <w:r w:rsidRPr="00824113">
        <w:rPr>
          <w:rFonts w:ascii="Calibri" w:hAnsi="Calibri"/>
          <w:b/>
          <w:sz w:val="28"/>
          <w:szCs w:val="28"/>
        </w:rPr>
        <w:t>Upper Big River recreation and camping guide</w:t>
      </w:r>
    </w:p>
    <w:p w:rsidR="00824113" w:rsidRDefault="00824113" w:rsidP="001005B5">
      <w:pPr>
        <w:pStyle w:val="Introquote01"/>
        <w:rPr>
          <w:rFonts w:ascii="Calibri" w:hAnsi="Calibri"/>
          <w:sz w:val="20"/>
          <w:szCs w:val="20"/>
        </w:rPr>
      </w:pPr>
    </w:p>
    <w:p w:rsidR="001005B5" w:rsidRPr="00D83551" w:rsidRDefault="00D83551" w:rsidP="001005B5">
      <w:pPr>
        <w:pStyle w:val="Introquote01"/>
        <w:rPr>
          <w:rFonts w:ascii="Calibri" w:hAnsi="Calibri"/>
          <w:sz w:val="20"/>
          <w:szCs w:val="20"/>
        </w:rPr>
      </w:pPr>
      <w:r w:rsidRPr="00D83551">
        <w:rPr>
          <w:rFonts w:ascii="Calibri" w:hAnsi="Calibri"/>
          <w:sz w:val="20"/>
          <w:szCs w:val="20"/>
        </w:rPr>
        <w:t xml:space="preserve">Situated about 2½ </w:t>
      </w:r>
      <w:proofErr w:type="spellStart"/>
      <w:r w:rsidRPr="00D83551">
        <w:rPr>
          <w:rFonts w:ascii="Calibri" w:hAnsi="Calibri"/>
          <w:sz w:val="20"/>
          <w:szCs w:val="20"/>
        </w:rPr>
        <w:t>hours</w:t>
      </w:r>
      <w:proofErr w:type="spellEnd"/>
      <w:r w:rsidRPr="00D83551">
        <w:rPr>
          <w:rFonts w:ascii="Calibri" w:hAnsi="Calibri"/>
          <w:sz w:val="20"/>
          <w:szCs w:val="20"/>
        </w:rPr>
        <w:t xml:space="preserve"> drive north east of Melbourne via Marysville or Warburton, Big River State forest is a popular area with many kilometres of forest roads and tracks. The heritage classified Big River is at the scenic heart of the forested valley</w:t>
      </w:r>
      <w:r w:rsidR="001005B5" w:rsidRPr="00D83551">
        <w:rPr>
          <w:rFonts w:ascii="Calibri" w:hAnsi="Calibri"/>
          <w:sz w:val="20"/>
          <w:szCs w:val="20"/>
        </w:rPr>
        <w:t>.</w:t>
      </w:r>
    </w:p>
    <w:p w:rsidR="001005B5" w:rsidRPr="005B1C47" w:rsidRDefault="001005B5" w:rsidP="005B1C47">
      <w:pPr>
        <w:pStyle w:val="Subtitle01"/>
      </w:pPr>
      <w:r w:rsidRPr="005B1C47">
        <w:t>Location and Access</w:t>
      </w:r>
    </w:p>
    <w:p w:rsidR="001005B5" w:rsidRDefault="00D83551" w:rsidP="00D83551">
      <w:pPr>
        <w:spacing w:line="220" w:lineRule="atLeast"/>
        <w:jc w:val="both"/>
        <w:rPr>
          <w:rStyle w:val="BodyTextMain10ptChar"/>
          <w:rFonts w:cs="Arial"/>
          <w:sz w:val="20"/>
          <w:szCs w:val="20"/>
        </w:rPr>
      </w:pPr>
      <w:r w:rsidRPr="000F749C">
        <w:rPr>
          <w:b/>
          <w:sz w:val="20"/>
        </w:rPr>
        <w:t>From Marysville</w:t>
      </w:r>
      <w:r w:rsidRPr="000F749C">
        <w:rPr>
          <w:sz w:val="20"/>
        </w:rPr>
        <w:t xml:space="preserve"> - Take the Woods Point Rd. After 18km, veer left at the Cumberland Junction then turn left down </w:t>
      </w:r>
      <w:proofErr w:type="spellStart"/>
      <w:r w:rsidRPr="000F749C">
        <w:rPr>
          <w:sz w:val="20"/>
        </w:rPr>
        <w:t>Eildon</w:t>
      </w:r>
      <w:proofErr w:type="spellEnd"/>
      <w:r w:rsidRPr="000F749C">
        <w:rPr>
          <w:sz w:val="20"/>
        </w:rPr>
        <w:t xml:space="preserve"> Warburton Road</w:t>
      </w:r>
      <w:r w:rsidR="001005B5" w:rsidRPr="001005B5">
        <w:rPr>
          <w:rStyle w:val="BodyTextMain10ptChar"/>
          <w:rFonts w:cs="Arial"/>
          <w:sz w:val="20"/>
          <w:szCs w:val="20"/>
        </w:rPr>
        <w:t xml:space="preserve">. </w:t>
      </w:r>
    </w:p>
    <w:p w:rsidR="00D83551" w:rsidRPr="000F749C" w:rsidRDefault="00D83551" w:rsidP="00D83551">
      <w:pPr>
        <w:pStyle w:val="Bodycopy"/>
        <w:spacing w:before="120" w:after="120"/>
        <w:rPr>
          <w:sz w:val="20"/>
        </w:rPr>
      </w:pPr>
      <w:r w:rsidRPr="000F749C">
        <w:rPr>
          <w:b/>
          <w:sz w:val="20"/>
        </w:rPr>
        <w:t>From Warburton</w:t>
      </w:r>
      <w:r w:rsidRPr="000F749C">
        <w:rPr>
          <w:sz w:val="20"/>
        </w:rPr>
        <w:t xml:space="preserve"> - Follow the Warburton Woods Point Rd and turn right at the Cumberland Junction, then left down </w:t>
      </w:r>
      <w:proofErr w:type="spellStart"/>
      <w:r w:rsidRPr="000F749C">
        <w:rPr>
          <w:sz w:val="20"/>
        </w:rPr>
        <w:t>Eildon</w:t>
      </w:r>
      <w:proofErr w:type="spellEnd"/>
      <w:r w:rsidRPr="000F749C">
        <w:rPr>
          <w:sz w:val="20"/>
        </w:rPr>
        <w:t xml:space="preserve"> Warburton Road. </w:t>
      </w:r>
    </w:p>
    <w:p w:rsidR="00D83551" w:rsidRPr="001005B5" w:rsidRDefault="00D83551" w:rsidP="00D83551">
      <w:pPr>
        <w:spacing w:before="85" w:line="220" w:lineRule="atLeast"/>
        <w:jc w:val="both"/>
        <w:rPr>
          <w:rStyle w:val="BodyTextMain10ptChar"/>
          <w:rFonts w:cs="Arial"/>
          <w:sz w:val="20"/>
          <w:szCs w:val="20"/>
        </w:rPr>
      </w:pPr>
      <w:r w:rsidRPr="000F749C">
        <w:rPr>
          <w:sz w:val="20"/>
        </w:rPr>
        <w:t xml:space="preserve">Big River Rd is 6km on the right and travels through the heart of the Big River State Forest.  Big River Road is an all-weather gravel road and has numerous riverside camping areas. Between 25 Mile Creek and </w:t>
      </w:r>
      <w:proofErr w:type="spellStart"/>
      <w:r w:rsidRPr="000F749C">
        <w:rPr>
          <w:sz w:val="20"/>
        </w:rPr>
        <w:t>Enochs</w:t>
      </w:r>
      <w:proofErr w:type="spellEnd"/>
      <w:r w:rsidRPr="000F749C">
        <w:rPr>
          <w:sz w:val="20"/>
        </w:rPr>
        <w:t xml:space="preserve"> Point, Big River Road is suitable for four wheel drive vehicles only</w:t>
      </w:r>
      <w:r>
        <w:rPr>
          <w:sz w:val="20"/>
        </w:rPr>
        <w:t>.</w:t>
      </w:r>
    </w:p>
    <w:p w:rsidR="00D83551" w:rsidRPr="001005B5" w:rsidRDefault="00D83551" w:rsidP="00D83551">
      <w:pPr>
        <w:pStyle w:val="Subtitle01"/>
      </w:pPr>
      <w:r w:rsidRPr="001005B5">
        <w:t xml:space="preserve">Things to see and do </w:t>
      </w:r>
    </w:p>
    <w:p w:rsidR="00D83551" w:rsidRPr="001005B5" w:rsidRDefault="00D83551" w:rsidP="00D83551">
      <w:pPr>
        <w:pStyle w:val="BodyTextMAIN10pt3ptbefore"/>
        <w:spacing w:before="0" w:line="220" w:lineRule="atLeast"/>
        <w:jc w:val="both"/>
        <w:rPr>
          <w:rStyle w:val="BodyTextMain10ptChar"/>
          <w:rFonts w:asciiTheme="minorHAnsi" w:hAnsiTheme="minorHAnsi" w:cs="Arial"/>
          <w:szCs w:val="20"/>
        </w:rPr>
      </w:pPr>
      <w:r w:rsidRPr="000F749C">
        <w:rPr>
          <w:rFonts w:ascii="Calibri" w:hAnsi="Calibri"/>
          <w:szCs w:val="18"/>
        </w:rPr>
        <w:t>With many kilometres of forest road and tracks, the area is extremely popular for recreational use. There are opportunities for camping, fishing, d</w:t>
      </w:r>
      <w:bookmarkStart w:id="0" w:name="_GoBack"/>
      <w:bookmarkEnd w:id="0"/>
      <w:r w:rsidRPr="000F749C">
        <w:rPr>
          <w:rFonts w:ascii="Calibri" w:hAnsi="Calibri"/>
          <w:szCs w:val="18"/>
        </w:rPr>
        <w:t>eer hunting, canoeing, gold fossicking, bush walking and vehicle touring.</w:t>
      </w:r>
    </w:p>
    <w:p w:rsidR="001005B5" w:rsidRPr="001005B5" w:rsidRDefault="001005B5" w:rsidP="005B1C47">
      <w:pPr>
        <w:pStyle w:val="Subtitle01"/>
      </w:pPr>
      <w:r w:rsidRPr="001005B5">
        <w:t>History</w:t>
      </w:r>
    </w:p>
    <w:p w:rsidR="00D83551" w:rsidRPr="000F749C" w:rsidRDefault="00D83551" w:rsidP="00D83551">
      <w:pPr>
        <w:tabs>
          <w:tab w:val="left" w:pos="1843"/>
          <w:tab w:val="left" w:pos="1985"/>
        </w:tabs>
        <w:autoSpaceDE w:val="0"/>
        <w:autoSpaceDN w:val="0"/>
        <w:adjustRightInd w:val="0"/>
        <w:spacing w:after="120"/>
        <w:ind w:right="-108"/>
        <w:jc w:val="both"/>
        <w:rPr>
          <w:rFonts w:ascii="Calibri" w:hAnsi="Calibri"/>
          <w:sz w:val="20"/>
          <w:szCs w:val="18"/>
        </w:rPr>
      </w:pPr>
      <w:r w:rsidRPr="000F749C">
        <w:rPr>
          <w:rFonts w:ascii="Calibri" w:hAnsi="Calibri"/>
          <w:sz w:val="20"/>
          <w:szCs w:val="18"/>
        </w:rPr>
        <w:t xml:space="preserve">The Big River State forest is the traditional land of the </w:t>
      </w:r>
      <w:proofErr w:type="spellStart"/>
      <w:r w:rsidRPr="000F749C">
        <w:rPr>
          <w:rFonts w:ascii="Calibri" w:hAnsi="Calibri"/>
          <w:sz w:val="20"/>
          <w:szCs w:val="18"/>
        </w:rPr>
        <w:t>Kulin</w:t>
      </w:r>
      <w:proofErr w:type="spellEnd"/>
      <w:r w:rsidRPr="000F749C">
        <w:rPr>
          <w:rFonts w:ascii="Calibri" w:hAnsi="Calibri"/>
          <w:sz w:val="20"/>
          <w:szCs w:val="18"/>
        </w:rPr>
        <w:t xml:space="preserve"> nation. The </w:t>
      </w:r>
      <w:proofErr w:type="spellStart"/>
      <w:r w:rsidRPr="000F749C">
        <w:rPr>
          <w:rFonts w:ascii="Calibri" w:hAnsi="Calibri"/>
          <w:sz w:val="20"/>
          <w:szCs w:val="18"/>
        </w:rPr>
        <w:t>Taungurung</w:t>
      </w:r>
      <w:proofErr w:type="spellEnd"/>
      <w:r w:rsidRPr="000F749C">
        <w:rPr>
          <w:rFonts w:ascii="Calibri" w:hAnsi="Calibri"/>
          <w:sz w:val="20"/>
          <w:szCs w:val="18"/>
        </w:rPr>
        <w:t xml:space="preserve"> tribe looked after the land in the north and the </w:t>
      </w:r>
      <w:proofErr w:type="spellStart"/>
      <w:r w:rsidRPr="000F749C">
        <w:rPr>
          <w:rFonts w:ascii="Calibri" w:hAnsi="Calibri"/>
          <w:sz w:val="20"/>
          <w:szCs w:val="18"/>
        </w:rPr>
        <w:t>Wurundjeri</w:t>
      </w:r>
      <w:proofErr w:type="spellEnd"/>
      <w:r w:rsidRPr="000F749C">
        <w:rPr>
          <w:rFonts w:ascii="Calibri" w:hAnsi="Calibri"/>
          <w:sz w:val="20"/>
          <w:szCs w:val="18"/>
        </w:rPr>
        <w:t xml:space="preserve"> tribe looked after land in the south. Stone artefacts identified along the Big River highlight the area was frequently visited and used for camping. </w:t>
      </w:r>
    </w:p>
    <w:p w:rsidR="00D83551" w:rsidRPr="000F749C" w:rsidRDefault="00D83551" w:rsidP="00D83551">
      <w:pPr>
        <w:tabs>
          <w:tab w:val="left" w:pos="1843"/>
          <w:tab w:val="left" w:pos="1985"/>
        </w:tabs>
        <w:autoSpaceDE w:val="0"/>
        <w:autoSpaceDN w:val="0"/>
        <w:adjustRightInd w:val="0"/>
        <w:spacing w:before="120" w:after="120"/>
        <w:ind w:right="-108"/>
        <w:jc w:val="both"/>
        <w:rPr>
          <w:rFonts w:ascii="Calibri" w:hAnsi="Calibri"/>
          <w:sz w:val="20"/>
          <w:szCs w:val="18"/>
        </w:rPr>
      </w:pPr>
      <w:r w:rsidRPr="000F749C">
        <w:rPr>
          <w:rFonts w:ascii="Calibri" w:hAnsi="Calibri"/>
          <w:sz w:val="20"/>
          <w:szCs w:val="18"/>
        </w:rPr>
        <w:t>Gold prospectors first visited the area in the 1850’s and there is abundant evidence of widespread alluvial mining. Deep lead mining was carried out near Stockman’s Reward and in the 1920’s a large steam-driven dredge also operated in this area.</w:t>
      </w:r>
    </w:p>
    <w:p w:rsidR="001005B5" w:rsidRPr="001005B5" w:rsidRDefault="00D83551" w:rsidP="00D83551">
      <w:pPr>
        <w:spacing w:before="120"/>
        <w:jc w:val="both"/>
        <w:rPr>
          <w:rStyle w:val="BodyTextMain10ptChar"/>
          <w:rFonts w:cs="Arial"/>
          <w:sz w:val="20"/>
          <w:szCs w:val="20"/>
        </w:rPr>
      </w:pPr>
      <w:r w:rsidRPr="000F749C">
        <w:rPr>
          <w:rFonts w:ascii="Calibri" w:hAnsi="Calibri"/>
          <w:sz w:val="20"/>
          <w:szCs w:val="18"/>
        </w:rPr>
        <w:t xml:space="preserve">The </w:t>
      </w:r>
      <w:proofErr w:type="spellStart"/>
      <w:r w:rsidRPr="000F749C">
        <w:rPr>
          <w:rFonts w:ascii="Calibri" w:hAnsi="Calibri"/>
          <w:sz w:val="20"/>
          <w:szCs w:val="18"/>
        </w:rPr>
        <w:t>Yarra</w:t>
      </w:r>
      <w:proofErr w:type="spellEnd"/>
      <w:r w:rsidRPr="000F749C">
        <w:rPr>
          <w:rFonts w:ascii="Calibri" w:hAnsi="Calibri"/>
          <w:sz w:val="20"/>
          <w:szCs w:val="18"/>
        </w:rPr>
        <w:t xml:space="preserve"> track, which provided access to the Woods Point goldfields, originally crossed the Big River at Stockman’s Crossing, now known as Stockman’s Reward. Cattle were grazed in the forest until the 1960’s and in more recent years the forest supplied </w:t>
      </w:r>
      <w:proofErr w:type="spellStart"/>
      <w:r w:rsidRPr="000F749C">
        <w:rPr>
          <w:rFonts w:ascii="Calibri" w:hAnsi="Calibri"/>
          <w:sz w:val="20"/>
          <w:szCs w:val="18"/>
        </w:rPr>
        <w:t>sawlogs</w:t>
      </w:r>
      <w:proofErr w:type="spellEnd"/>
      <w:r w:rsidRPr="000F749C">
        <w:rPr>
          <w:rFonts w:ascii="Calibri" w:hAnsi="Calibri"/>
          <w:sz w:val="20"/>
          <w:szCs w:val="18"/>
        </w:rPr>
        <w:t xml:space="preserve"> for local industry. Today the forest is managed primarily for recreation, tim</w:t>
      </w:r>
      <w:r>
        <w:rPr>
          <w:rFonts w:ascii="Calibri" w:hAnsi="Calibri"/>
          <w:sz w:val="20"/>
          <w:szCs w:val="18"/>
        </w:rPr>
        <w:t>ber production and water supply</w:t>
      </w:r>
      <w:r w:rsidR="001005B5" w:rsidRPr="001005B5">
        <w:rPr>
          <w:rStyle w:val="BodyTextMain10ptChar"/>
          <w:rFonts w:cs="Arial"/>
          <w:sz w:val="20"/>
          <w:szCs w:val="20"/>
        </w:rPr>
        <w:t>.</w:t>
      </w:r>
    </w:p>
    <w:p w:rsidR="001005B5" w:rsidRPr="001005B5" w:rsidRDefault="001005B5" w:rsidP="005B1C47">
      <w:pPr>
        <w:pStyle w:val="Subtitle01"/>
      </w:pPr>
      <w:r w:rsidRPr="001005B5">
        <w:t xml:space="preserve">What facilities are provided </w:t>
      </w:r>
    </w:p>
    <w:p w:rsidR="001005B5" w:rsidRPr="001005B5" w:rsidRDefault="00D83551" w:rsidP="00D83551">
      <w:pPr>
        <w:spacing w:line="220" w:lineRule="atLeast"/>
        <w:jc w:val="both"/>
        <w:rPr>
          <w:rStyle w:val="BodyTextMain10ptChar"/>
          <w:rFonts w:cs="Arial"/>
          <w:sz w:val="20"/>
          <w:szCs w:val="20"/>
        </w:rPr>
      </w:pPr>
      <w:r w:rsidRPr="000F749C">
        <w:rPr>
          <w:rFonts w:ascii="Calibri" w:hAnsi="Calibri"/>
          <w:sz w:val="20"/>
          <w:szCs w:val="18"/>
        </w:rPr>
        <w:t>A number of camping areas are located throughout Big River State forest.</w:t>
      </w:r>
      <w:r>
        <w:rPr>
          <w:rFonts w:ascii="Calibri" w:hAnsi="Calibri"/>
          <w:sz w:val="20"/>
          <w:szCs w:val="18"/>
        </w:rPr>
        <w:t xml:space="preserve"> Some sites can accommodate </w:t>
      </w:r>
      <w:r w:rsidRPr="000F749C">
        <w:rPr>
          <w:rFonts w:ascii="Calibri" w:hAnsi="Calibri"/>
          <w:sz w:val="20"/>
          <w:szCs w:val="18"/>
        </w:rPr>
        <w:t xml:space="preserve"> caravans </w:t>
      </w:r>
      <w:r>
        <w:rPr>
          <w:rFonts w:ascii="Calibri" w:hAnsi="Calibri"/>
          <w:sz w:val="20"/>
          <w:szCs w:val="18"/>
        </w:rPr>
        <w:t>but all sites are unpowered with t</w:t>
      </w:r>
      <w:r w:rsidRPr="000F749C">
        <w:rPr>
          <w:rFonts w:ascii="Calibri" w:hAnsi="Calibri"/>
          <w:sz w:val="20"/>
          <w:szCs w:val="18"/>
        </w:rPr>
        <w:t>oilet facilities</w:t>
      </w:r>
      <w:r>
        <w:rPr>
          <w:rFonts w:ascii="Calibri" w:hAnsi="Calibri"/>
          <w:sz w:val="20"/>
          <w:szCs w:val="18"/>
        </w:rPr>
        <w:t xml:space="preserve"> and</w:t>
      </w:r>
      <w:r w:rsidRPr="000F749C">
        <w:rPr>
          <w:rFonts w:ascii="Calibri" w:hAnsi="Calibri"/>
          <w:sz w:val="20"/>
          <w:szCs w:val="18"/>
        </w:rPr>
        <w:t xml:space="preserve"> fireplaces provided at designated sites</w:t>
      </w:r>
      <w:r w:rsidRPr="00C3063C">
        <w:rPr>
          <w:rFonts w:ascii="Calibri" w:hAnsi="Calibri"/>
          <w:sz w:val="20"/>
          <w:szCs w:val="18"/>
        </w:rPr>
        <w:t xml:space="preserve"> </w:t>
      </w:r>
      <w:r w:rsidRPr="000F749C">
        <w:rPr>
          <w:rFonts w:ascii="Calibri" w:hAnsi="Calibri"/>
          <w:sz w:val="20"/>
          <w:szCs w:val="18"/>
        </w:rPr>
        <w:t>(see map overleaf)</w:t>
      </w:r>
      <w:r w:rsidR="001005B5" w:rsidRPr="001005B5">
        <w:rPr>
          <w:rFonts w:cs="Arial"/>
          <w:snapToGrid w:val="0"/>
          <w:color w:val="000000"/>
          <w:sz w:val="20"/>
          <w:szCs w:val="20"/>
          <w:lang w:val="en-AU"/>
        </w:rPr>
        <w:t>.</w:t>
      </w:r>
    </w:p>
    <w:p w:rsidR="001005B5" w:rsidRPr="001005B5" w:rsidRDefault="001005B5" w:rsidP="005B1C47">
      <w:pPr>
        <w:pStyle w:val="Subtitle01"/>
      </w:pPr>
      <w:r w:rsidRPr="001005B5">
        <w:t>Campfire guidelines</w:t>
      </w:r>
    </w:p>
    <w:p w:rsidR="001005B5" w:rsidRPr="001005B5" w:rsidRDefault="001005B5" w:rsidP="001005B5">
      <w:pPr>
        <w:pStyle w:val="BodyTextMAIN10pt3ptbefore"/>
        <w:spacing w:before="0"/>
        <w:jc w:val="both"/>
        <w:rPr>
          <w:rStyle w:val="BodyTextMain10ptChar"/>
          <w:rFonts w:asciiTheme="minorHAnsi" w:hAnsiTheme="minorHAnsi" w:cs="Arial"/>
          <w:szCs w:val="20"/>
        </w:rPr>
      </w:pPr>
      <w:r w:rsidRPr="001005B5">
        <w:rPr>
          <w:rStyle w:val="BodyTextMain10ptChar"/>
          <w:rFonts w:asciiTheme="minorHAnsi" w:hAnsiTheme="minorHAnsi" w:cs="Arial"/>
          <w:szCs w:val="20"/>
        </w:rPr>
        <w:t>Campfires are permitted, provided the following guidelines are observed:</w:t>
      </w:r>
    </w:p>
    <w:p w:rsidR="001005B5" w:rsidRPr="001005B5" w:rsidRDefault="00824113" w:rsidP="00853A86">
      <w:pPr>
        <w:pStyle w:val="Bullets10pt"/>
        <w:numPr>
          <w:ilvl w:val="0"/>
          <w:numId w:val="0"/>
        </w:numPr>
        <w:tabs>
          <w:tab w:val="clear" w:pos="284"/>
        </w:tabs>
        <w:jc w:val="both"/>
        <w:rPr>
          <w:rFonts w:asciiTheme="minorHAnsi" w:hAnsiTheme="minorHAnsi" w:cs="Arial"/>
          <w:color w:val="auto"/>
        </w:rPr>
      </w:pPr>
      <w:r w:rsidRPr="008E72F7">
        <w:rPr>
          <w:rFonts w:ascii="Calibri" w:hAnsi="Calibri" w:cs="Arial"/>
          <w:b/>
          <w:color w:val="auto"/>
        </w:rPr>
        <w:t>Campfire safety</w:t>
      </w:r>
      <w:r w:rsidRPr="008E72F7">
        <w:rPr>
          <w:rFonts w:ascii="Calibri" w:hAnsi="Calibri" w:cs="Arial"/>
          <w:color w:val="auto"/>
        </w:rPr>
        <w:t xml:space="preserve"> - Use fireplaces where provided. The fire must be in a fireplace or trench 30cm dee</w:t>
      </w:r>
      <w:r>
        <w:rPr>
          <w:rFonts w:ascii="Calibri" w:hAnsi="Calibri" w:cs="Arial"/>
          <w:color w:val="auto"/>
        </w:rPr>
        <w:t xml:space="preserve">p, must be no bigger than 1 square metre in any direction, with the </w:t>
      </w:r>
      <w:r w:rsidRPr="008E72F7">
        <w:rPr>
          <w:rFonts w:ascii="Calibri" w:eastAsia="MS Mincho" w:hAnsi="Calibri" w:cs="Helv"/>
          <w:color w:val="auto"/>
          <w:lang w:val="en-AU" w:eastAsia="ja-JP"/>
        </w:rPr>
        <w:t>ground and airspace within 3m of the outer perimeter of the fire clear of flammable material.</w:t>
      </w:r>
      <w:r>
        <w:rPr>
          <w:rFonts w:ascii="Calibri" w:eastAsia="MS Mincho" w:hAnsi="Calibri" w:cs="Helv"/>
          <w:color w:val="auto"/>
          <w:lang w:val="en-AU" w:eastAsia="ja-JP"/>
        </w:rPr>
        <w:t xml:space="preserve"> The fire must also be </w:t>
      </w:r>
      <w:r w:rsidRPr="008E72F7">
        <w:rPr>
          <w:rFonts w:ascii="Calibri" w:hAnsi="Calibri" w:cs="Arial"/>
          <w:color w:val="auto"/>
        </w:rPr>
        <w:t xml:space="preserve">attended at all times by a person with the capacity and means to extinguish it. Ensure the fire is </w:t>
      </w:r>
      <w:r w:rsidRPr="008E72F7">
        <w:rPr>
          <w:rFonts w:ascii="Calibri" w:hAnsi="Calibri" w:cs="Arial"/>
          <w:bCs/>
          <w:color w:val="auto"/>
        </w:rPr>
        <w:t xml:space="preserve">extinguished </w:t>
      </w:r>
      <w:r w:rsidRPr="008E72F7">
        <w:rPr>
          <w:rFonts w:ascii="Calibri" w:hAnsi="Calibri" w:cs="Arial"/>
          <w:color w:val="auto"/>
          <w:lang w:val="en"/>
        </w:rPr>
        <w:t>with water</w:t>
      </w:r>
      <w:r w:rsidRPr="008E72F7">
        <w:rPr>
          <w:rFonts w:ascii="Calibri" w:hAnsi="Calibri" w:cs="Arial"/>
          <w:bCs/>
          <w:color w:val="auto"/>
        </w:rPr>
        <w:t xml:space="preserve"> before leaving</w:t>
      </w:r>
      <w:r w:rsidRPr="008E72F7">
        <w:rPr>
          <w:rFonts w:ascii="Calibri" w:hAnsi="Calibri" w:cs="Arial"/>
          <w:color w:val="auto"/>
          <w:lang w:val="en"/>
        </w:rPr>
        <w:t>.</w:t>
      </w:r>
      <w:r w:rsidRPr="008E72F7">
        <w:rPr>
          <w:rStyle w:val="Strong"/>
          <w:rFonts w:ascii="Calibri" w:hAnsi="Calibri" w:cs="Arial"/>
          <w:color w:val="auto"/>
          <w:lang w:val="en"/>
        </w:rPr>
        <w:t xml:space="preserve"> If it’s cool to touch it is safe to leave</w:t>
      </w:r>
      <w:r w:rsidRPr="008E72F7">
        <w:rPr>
          <w:rFonts w:ascii="Calibri" w:hAnsi="Calibri" w:cs="Arial"/>
          <w:color w:val="auto"/>
        </w:rPr>
        <w:t>.</w:t>
      </w:r>
    </w:p>
    <w:p w:rsidR="001005B5" w:rsidRPr="001005B5" w:rsidRDefault="001005B5" w:rsidP="00824113">
      <w:pPr>
        <w:pStyle w:val="Bullets10pt"/>
        <w:numPr>
          <w:ilvl w:val="0"/>
          <w:numId w:val="0"/>
        </w:numPr>
        <w:tabs>
          <w:tab w:val="clear" w:pos="284"/>
        </w:tabs>
        <w:jc w:val="both"/>
        <w:rPr>
          <w:rFonts w:asciiTheme="minorHAnsi" w:hAnsiTheme="minorHAnsi" w:cs="Arial"/>
        </w:rPr>
      </w:pPr>
      <w:r w:rsidRPr="001005B5">
        <w:rPr>
          <w:rFonts w:asciiTheme="minorHAnsi" w:hAnsiTheme="minorHAnsi" w:cs="Arial"/>
          <w:b/>
          <w:color w:val="auto"/>
        </w:rPr>
        <w:t>Campfires are prohibited on days of Total Fire Ban</w:t>
      </w:r>
      <w:r w:rsidRPr="001005B5">
        <w:rPr>
          <w:rFonts w:asciiTheme="minorHAnsi" w:hAnsiTheme="minorHAnsi" w:cs="Arial"/>
          <w:color w:val="auto"/>
        </w:rPr>
        <w:t xml:space="preserve">. </w:t>
      </w:r>
      <w:r w:rsidRPr="001005B5">
        <w:rPr>
          <w:rFonts w:asciiTheme="minorHAnsi" w:hAnsiTheme="minorHAnsi" w:cs="Arial"/>
        </w:rPr>
        <w:t>This ban does not apply to a person preparing meals on a gas or electric appliance that has been designed and commercially manufactured exclusively for cooking provided</w:t>
      </w:r>
      <w:r w:rsidRPr="001005B5">
        <w:rPr>
          <w:rFonts w:asciiTheme="minorHAnsi" w:eastAsia="MS Mincho" w:hAnsiTheme="minorHAnsi" w:cs="Arial"/>
          <w:lang w:val="en-AU" w:eastAsia="ja-JP"/>
        </w:rPr>
        <w:t>:</w:t>
      </w:r>
    </w:p>
    <w:p w:rsidR="001005B5" w:rsidRPr="001005B5" w:rsidRDefault="001005B5" w:rsidP="001005B5">
      <w:pPr>
        <w:pStyle w:val="Bullets10pt"/>
        <w:numPr>
          <w:ilvl w:val="0"/>
          <w:numId w:val="0"/>
        </w:numPr>
        <w:ind w:left="567" w:hanging="283"/>
        <w:jc w:val="both"/>
        <w:rPr>
          <w:rFonts w:asciiTheme="minorHAnsi" w:eastAsia="MS Mincho" w:hAnsiTheme="minorHAnsi" w:cs="Arial"/>
          <w:lang w:val="en-AU" w:eastAsia="ja-JP"/>
        </w:rPr>
      </w:pPr>
      <w:r w:rsidRPr="001005B5">
        <w:rPr>
          <w:rFonts w:asciiTheme="minorHAnsi" w:eastAsia="MS Mincho" w:hAnsiTheme="minorHAnsi" w:cs="Arial"/>
          <w:lang w:val="en-AU" w:eastAsia="ja-JP"/>
        </w:rPr>
        <w:t xml:space="preserve">-  </w:t>
      </w:r>
      <w:r w:rsidRPr="001005B5">
        <w:rPr>
          <w:rFonts w:asciiTheme="minorHAnsi" w:eastAsia="MS Mincho" w:hAnsiTheme="minorHAnsi" w:cs="Arial"/>
          <w:lang w:val="en-AU" w:eastAsia="ja-JP"/>
        </w:rPr>
        <w:tab/>
        <w:t>the ground and airspace within 3m of the appliance is clear of flammable material</w:t>
      </w:r>
    </w:p>
    <w:p w:rsidR="001005B5" w:rsidRPr="001005B5" w:rsidRDefault="001005B5" w:rsidP="001005B5">
      <w:pPr>
        <w:pStyle w:val="Bullets10pt"/>
        <w:numPr>
          <w:ilvl w:val="0"/>
          <w:numId w:val="0"/>
        </w:numPr>
        <w:ind w:left="567" w:hanging="283"/>
        <w:jc w:val="both"/>
        <w:rPr>
          <w:rFonts w:asciiTheme="minorHAnsi" w:eastAsia="MS Mincho" w:hAnsiTheme="minorHAnsi" w:cs="Arial"/>
          <w:lang w:val="en-AU" w:eastAsia="ja-JP"/>
        </w:rPr>
      </w:pPr>
      <w:r w:rsidRPr="001005B5">
        <w:rPr>
          <w:rFonts w:asciiTheme="minorHAnsi" w:eastAsia="MS Mincho" w:hAnsiTheme="minorHAnsi" w:cs="Arial"/>
          <w:lang w:val="en-AU" w:eastAsia="ja-JP"/>
        </w:rPr>
        <w:t>-</w:t>
      </w:r>
      <w:r w:rsidRPr="001005B5">
        <w:rPr>
          <w:rFonts w:asciiTheme="minorHAnsi" w:eastAsia="MS Mincho" w:hAnsiTheme="minorHAnsi" w:cs="Arial"/>
          <w:lang w:val="en-AU" w:eastAsia="ja-JP"/>
        </w:rPr>
        <w:tab/>
        <w:t>when in use and alight, the appliance is in a stable position and attended by an adult who has the capacity and means (minimum of 10 litres of water on hand) to extinguish the fire.</w:t>
      </w:r>
    </w:p>
    <w:p w:rsidR="00824113" w:rsidRDefault="00824113" w:rsidP="001005B5">
      <w:pPr>
        <w:pStyle w:val="Bullets10pt"/>
        <w:numPr>
          <w:ilvl w:val="0"/>
          <w:numId w:val="0"/>
        </w:numPr>
        <w:tabs>
          <w:tab w:val="clear" w:pos="284"/>
        </w:tabs>
        <w:jc w:val="both"/>
        <w:rPr>
          <w:rFonts w:ascii="Calibri" w:hAnsi="Calibri" w:cs="Arial"/>
          <w:szCs w:val="18"/>
        </w:rPr>
      </w:pPr>
    </w:p>
    <w:p w:rsidR="00824113" w:rsidRDefault="00824113" w:rsidP="001005B5">
      <w:pPr>
        <w:pStyle w:val="Bullets10pt"/>
        <w:numPr>
          <w:ilvl w:val="0"/>
          <w:numId w:val="0"/>
        </w:numPr>
        <w:tabs>
          <w:tab w:val="clear" w:pos="284"/>
        </w:tabs>
        <w:jc w:val="both"/>
        <w:rPr>
          <w:rFonts w:ascii="Calibri" w:hAnsi="Calibri" w:cs="Arial"/>
          <w:szCs w:val="18"/>
        </w:rPr>
      </w:pPr>
      <w:r>
        <w:rPr>
          <w:rFonts w:ascii="Calibri" w:hAnsi="Calibri" w:cs="Arial"/>
          <w:szCs w:val="18"/>
        </w:rPr>
        <w:lastRenderedPageBreak/>
        <w:t>Upper Big River camping areas are located in the North Central Total Fire Ban (TFB) district, with the exception of Snowy Rd, which is located in the Central TFB district</w:t>
      </w:r>
      <w:r>
        <w:rPr>
          <w:rFonts w:ascii="Calibri" w:hAnsi="Calibri" w:cs="Arial"/>
          <w:szCs w:val="18"/>
        </w:rPr>
        <w:t>.</w:t>
      </w:r>
    </w:p>
    <w:p w:rsidR="00824113" w:rsidRDefault="00824113" w:rsidP="001005B5">
      <w:pPr>
        <w:pStyle w:val="Bullets10pt"/>
        <w:numPr>
          <w:ilvl w:val="0"/>
          <w:numId w:val="0"/>
        </w:numPr>
        <w:tabs>
          <w:tab w:val="clear" w:pos="284"/>
        </w:tabs>
        <w:jc w:val="both"/>
        <w:rPr>
          <w:rFonts w:asciiTheme="minorHAnsi" w:hAnsiTheme="minorHAnsi" w:cs="Arial"/>
          <w:b/>
        </w:rPr>
      </w:pPr>
    </w:p>
    <w:p w:rsidR="001005B5" w:rsidRPr="00824113" w:rsidRDefault="001005B5" w:rsidP="001005B5">
      <w:pPr>
        <w:pStyle w:val="Bullets10pt"/>
        <w:numPr>
          <w:ilvl w:val="0"/>
          <w:numId w:val="0"/>
        </w:numPr>
        <w:tabs>
          <w:tab w:val="clear" w:pos="284"/>
        </w:tabs>
        <w:jc w:val="both"/>
        <w:rPr>
          <w:rFonts w:ascii="Calibri" w:hAnsi="Calibri" w:cs="Arial"/>
        </w:rPr>
      </w:pPr>
      <w:r w:rsidRPr="00824113">
        <w:rPr>
          <w:rFonts w:ascii="Calibri" w:hAnsi="Calibri" w:cs="Arial"/>
          <w:b/>
        </w:rPr>
        <w:t>It is your responsibility to know if a Total Fire Ban is declared. If in doubt, do not light a campfire.</w:t>
      </w:r>
    </w:p>
    <w:p w:rsidR="00824113" w:rsidRPr="00824113" w:rsidRDefault="00824113" w:rsidP="00824113">
      <w:pPr>
        <w:pStyle w:val="Subtitle01"/>
        <w:rPr>
          <w:rFonts w:ascii="Calibri" w:hAnsi="Calibri"/>
        </w:rPr>
      </w:pPr>
      <w:r w:rsidRPr="00824113">
        <w:rPr>
          <w:rFonts w:ascii="Calibri" w:hAnsi="Calibri"/>
        </w:rPr>
        <w:t xml:space="preserve">Forest use guidelines </w:t>
      </w:r>
    </w:p>
    <w:p w:rsidR="00824113" w:rsidRPr="00824113" w:rsidRDefault="00824113" w:rsidP="00824113">
      <w:pPr>
        <w:pStyle w:val="ListParagraph"/>
        <w:numPr>
          <w:ilvl w:val="0"/>
          <w:numId w:val="5"/>
        </w:numPr>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 xml:space="preserve">There is no rubbish collection service so please take your rubbish home. </w:t>
      </w:r>
    </w:p>
    <w:p w:rsidR="00824113" w:rsidRPr="00824113" w:rsidRDefault="00824113" w:rsidP="00824113">
      <w:pPr>
        <w:pStyle w:val="ListParagraph"/>
        <w:numPr>
          <w:ilvl w:val="0"/>
          <w:numId w:val="5"/>
        </w:numPr>
        <w:ind w:left="284" w:hanging="284"/>
        <w:jc w:val="both"/>
        <w:rPr>
          <w:rFonts w:ascii="Calibri" w:hAnsi="Calibri" w:cs="Arial"/>
          <w:snapToGrid w:val="0"/>
          <w:color w:val="000000"/>
          <w:sz w:val="20"/>
          <w:szCs w:val="20"/>
          <w:u w:val="single"/>
          <w:lang w:val="en-AU"/>
        </w:rPr>
      </w:pPr>
      <w:r w:rsidRPr="00824113">
        <w:rPr>
          <w:rFonts w:ascii="Calibri" w:eastAsia="MS Mincho" w:hAnsi="Calibri" w:cs="Arial"/>
          <w:sz w:val="20"/>
          <w:szCs w:val="20"/>
          <w:lang w:val="en-AU" w:eastAsia="ja-JP"/>
        </w:rPr>
        <w:t xml:space="preserve">Dogs are allowed in State forest but must be under direct control at all times and are expected </w:t>
      </w:r>
      <w:r w:rsidRPr="00824113">
        <w:rPr>
          <w:rFonts w:ascii="Calibri" w:eastAsia="MS Mincho" w:hAnsi="Calibri" w:cs="Arial"/>
          <w:sz w:val="20"/>
          <w:szCs w:val="20"/>
          <w:lang w:eastAsia="ja-JP"/>
        </w:rPr>
        <w:t>to be on a leash in picnic and camping areas or when near  other visitors.</w:t>
      </w:r>
    </w:p>
    <w:p w:rsidR="00824113" w:rsidRPr="00824113" w:rsidRDefault="00824113" w:rsidP="00824113">
      <w:pPr>
        <w:pStyle w:val="BodyTextMAIN10pt3ptbefore"/>
        <w:numPr>
          <w:ilvl w:val="0"/>
          <w:numId w:val="3"/>
        </w:numPr>
        <w:tabs>
          <w:tab w:val="clear" w:pos="360"/>
        </w:tabs>
        <w:spacing w:before="0"/>
        <w:ind w:left="284" w:hanging="284"/>
        <w:jc w:val="both"/>
        <w:rPr>
          <w:rStyle w:val="BodyTextMain10ptChar"/>
          <w:rFonts w:ascii="Calibri" w:hAnsi="Calibri" w:cs="Arial"/>
          <w:szCs w:val="20"/>
        </w:rPr>
      </w:pPr>
      <w:r w:rsidRPr="00824113">
        <w:rPr>
          <w:rFonts w:ascii="Calibri" w:eastAsia="MS Mincho" w:hAnsi="Calibri" w:cs="Arial"/>
        </w:rPr>
        <w:t>Motor vehicles including motorcycles must not be driven off formed roads or on walking tracks. All vehicles must be registered and drivers licensed</w:t>
      </w:r>
      <w:r w:rsidRPr="00824113">
        <w:rPr>
          <w:rStyle w:val="BodyTextMain10ptChar"/>
          <w:rFonts w:ascii="Calibri" w:hAnsi="Calibri" w:cs="Arial"/>
          <w:szCs w:val="20"/>
        </w:rPr>
        <w:t>.</w:t>
      </w:r>
    </w:p>
    <w:p w:rsidR="00824113" w:rsidRPr="00824113" w:rsidRDefault="00824113" w:rsidP="00824113">
      <w:pPr>
        <w:pStyle w:val="BodyTextMAIN10pt3ptbefore"/>
        <w:numPr>
          <w:ilvl w:val="0"/>
          <w:numId w:val="3"/>
        </w:numPr>
        <w:tabs>
          <w:tab w:val="clear" w:pos="360"/>
        </w:tabs>
        <w:spacing w:before="0"/>
        <w:ind w:left="284" w:hanging="284"/>
        <w:jc w:val="both"/>
        <w:rPr>
          <w:rStyle w:val="BodyTextMain10ptChar"/>
          <w:rFonts w:ascii="Calibri" w:hAnsi="Calibri" w:cs="Arial"/>
          <w:szCs w:val="20"/>
        </w:rPr>
      </w:pPr>
      <w:r w:rsidRPr="00824113">
        <w:rPr>
          <w:rStyle w:val="BodyTextMain10ptChar"/>
          <w:rFonts w:ascii="Calibri" w:hAnsi="Calibri" w:cs="Arial"/>
          <w:szCs w:val="20"/>
        </w:rPr>
        <w:t xml:space="preserve">Use toilets where provided. </w:t>
      </w:r>
      <w:r w:rsidRPr="00824113">
        <w:rPr>
          <w:rFonts w:ascii="Calibri" w:hAnsi="Calibri" w:cs="Arial"/>
        </w:rPr>
        <w:t>At some sites hand washing facilities and toilet paper may not be supplied. Come prepared.</w:t>
      </w:r>
    </w:p>
    <w:p w:rsidR="00824113" w:rsidRPr="00824113" w:rsidRDefault="00824113" w:rsidP="00824113">
      <w:pPr>
        <w:pStyle w:val="Subtitle01"/>
        <w:rPr>
          <w:rFonts w:ascii="Calibri" w:hAnsi="Calibri"/>
          <w:color w:val="FF0000"/>
        </w:rPr>
      </w:pPr>
      <w:r w:rsidRPr="00824113">
        <w:rPr>
          <w:rFonts w:ascii="Calibri" w:hAnsi="Calibri"/>
        </w:rPr>
        <w:t>Firearms</w:t>
      </w:r>
    </w:p>
    <w:p w:rsidR="00824113" w:rsidRPr="00824113" w:rsidRDefault="00824113" w:rsidP="00824113">
      <w:pPr>
        <w:tabs>
          <w:tab w:val="left" w:pos="284"/>
        </w:tabs>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Normal firearm laws apply in State forests.</w:t>
      </w:r>
    </w:p>
    <w:p w:rsidR="00824113" w:rsidRPr="00824113" w:rsidRDefault="00824113" w:rsidP="00824113">
      <w:pPr>
        <w:numPr>
          <w:ilvl w:val="0"/>
          <w:numId w:val="4"/>
        </w:numPr>
        <w:tabs>
          <w:tab w:val="left" w:pos="284"/>
        </w:tabs>
        <w:ind w:left="357" w:hanging="357"/>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A licence is required and firearms must be registered.</w:t>
      </w:r>
    </w:p>
    <w:p w:rsidR="00824113" w:rsidRPr="00824113" w:rsidRDefault="00824113" w:rsidP="00824113">
      <w:pPr>
        <w:numPr>
          <w:ilvl w:val="0"/>
          <w:numId w:val="4"/>
        </w:numPr>
        <w:tabs>
          <w:tab w:val="left" w:pos="284"/>
        </w:tabs>
        <w:ind w:left="357" w:hanging="357"/>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It is prohibited to shoot on, from or across roads.</w:t>
      </w:r>
    </w:p>
    <w:p w:rsidR="00824113" w:rsidRPr="00824113" w:rsidRDefault="00824113" w:rsidP="00824113">
      <w:pPr>
        <w:numPr>
          <w:ilvl w:val="0"/>
          <w:numId w:val="4"/>
        </w:numPr>
        <w:tabs>
          <w:tab w:val="left" w:pos="284"/>
        </w:tabs>
        <w:ind w:left="357" w:hanging="357"/>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Use of firearms in camping areas is prohibited.</w:t>
      </w:r>
    </w:p>
    <w:p w:rsidR="00824113" w:rsidRPr="00824113" w:rsidRDefault="00824113" w:rsidP="00824113">
      <w:pPr>
        <w:tabs>
          <w:tab w:val="left" w:pos="284"/>
        </w:tabs>
        <w:spacing w:before="120"/>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All native birds and animals are protected by law. State forests are popular recreation areas. Take special care with firearms.</w:t>
      </w:r>
    </w:p>
    <w:p w:rsidR="00824113" w:rsidRPr="00824113" w:rsidRDefault="00824113" w:rsidP="00824113">
      <w:pPr>
        <w:pStyle w:val="Subtitle01"/>
        <w:rPr>
          <w:rFonts w:ascii="Calibri" w:hAnsi="Calibri"/>
        </w:rPr>
      </w:pPr>
      <w:r w:rsidRPr="00824113">
        <w:rPr>
          <w:rFonts w:ascii="Calibri" w:hAnsi="Calibri"/>
        </w:rPr>
        <w:t xml:space="preserve">Camping - Minimal impact </w:t>
      </w:r>
    </w:p>
    <w:p w:rsidR="00824113" w:rsidRPr="00824113" w:rsidRDefault="00824113" w:rsidP="00824113">
      <w:pPr>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To protect the delicate environments of the forest, we need to ‘tread lightly’ in the bush to minimise our impact on the natural environment.</w:t>
      </w:r>
    </w:p>
    <w:p w:rsidR="00824113" w:rsidRPr="00824113" w:rsidRDefault="00824113" w:rsidP="00824113">
      <w:pPr>
        <w:numPr>
          <w:ilvl w:val="0"/>
          <w:numId w:val="3"/>
        </w:numPr>
        <w:tabs>
          <w:tab w:val="clear" w:pos="360"/>
        </w:tabs>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Camping is not permitted outside of designated areas or within 20 metres of any river, stream or lake</w:t>
      </w:r>
    </w:p>
    <w:p w:rsidR="00824113" w:rsidRPr="00824113" w:rsidRDefault="00824113" w:rsidP="00824113">
      <w:pPr>
        <w:numPr>
          <w:ilvl w:val="0"/>
          <w:numId w:val="3"/>
        </w:numPr>
        <w:tabs>
          <w:tab w:val="clear" w:pos="360"/>
        </w:tabs>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Be careful of camping under trees.  Trees can drop their limbs at any time (particularly during high winds).</w:t>
      </w:r>
    </w:p>
    <w:p w:rsidR="00824113" w:rsidRPr="00824113" w:rsidRDefault="00824113" w:rsidP="00824113">
      <w:pPr>
        <w:numPr>
          <w:ilvl w:val="0"/>
          <w:numId w:val="3"/>
        </w:numPr>
        <w:tabs>
          <w:tab w:val="clear" w:pos="360"/>
        </w:tabs>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 xml:space="preserve">Do not dig trenches around tents.  With modern tents, this is unnecessary, particularly if you choose a well-drained or raised site. </w:t>
      </w:r>
    </w:p>
    <w:p w:rsidR="00824113" w:rsidRPr="00824113" w:rsidRDefault="00824113" w:rsidP="00824113">
      <w:pPr>
        <w:numPr>
          <w:ilvl w:val="0"/>
          <w:numId w:val="3"/>
        </w:numPr>
        <w:tabs>
          <w:tab w:val="clear" w:pos="360"/>
        </w:tabs>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 xml:space="preserve">Protect water quality – wash up at least 50 metres away from the river and avoid using soap (use gritty sand and a </w:t>
      </w:r>
      <w:proofErr w:type="spellStart"/>
      <w:r w:rsidRPr="00824113">
        <w:rPr>
          <w:rFonts w:ascii="Calibri" w:hAnsi="Calibri" w:cs="Arial"/>
          <w:snapToGrid w:val="0"/>
          <w:color w:val="000000"/>
          <w:sz w:val="20"/>
          <w:szCs w:val="20"/>
          <w:lang w:val="en-AU"/>
        </w:rPr>
        <w:t>scourer</w:t>
      </w:r>
      <w:proofErr w:type="spellEnd"/>
      <w:r w:rsidRPr="00824113">
        <w:rPr>
          <w:rFonts w:ascii="Calibri" w:hAnsi="Calibri" w:cs="Arial"/>
          <w:snapToGrid w:val="0"/>
          <w:color w:val="000000"/>
          <w:sz w:val="20"/>
          <w:szCs w:val="20"/>
          <w:lang w:val="en-AU"/>
        </w:rPr>
        <w:t xml:space="preserve"> instead).</w:t>
      </w:r>
    </w:p>
    <w:p w:rsidR="00824113" w:rsidRPr="00824113" w:rsidRDefault="00824113" w:rsidP="00824113">
      <w:pPr>
        <w:numPr>
          <w:ilvl w:val="0"/>
          <w:numId w:val="3"/>
        </w:numPr>
        <w:tabs>
          <w:tab w:val="clear" w:pos="360"/>
        </w:tabs>
        <w:ind w:left="284" w:hanging="284"/>
        <w:jc w:val="both"/>
        <w:rPr>
          <w:rFonts w:ascii="Calibri" w:hAnsi="Calibri" w:cs="Arial"/>
          <w:snapToGrid w:val="0"/>
          <w:color w:val="000000"/>
          <w:sz w:val="20"/>
          <w:szCs w:val="20"/>
          <w:lang w:val="en-AU"/>
        </w:rPr>
      </w:pPr>
      <w:r w:rsidRPr="00824113">
        <w:rPr>
          <w:rFonts w:ascii="Calibri" w:hAnsi="Calibri" w:cs="Arial"/>
          <w:snapToGrid w:val="0"/>
          <w:color w:val="000000"/>
          <w:sz w:val="20"/>
          <w:szCs w:val="20"/>
          <w:lang w:val="en-AU"/>
        </w:rPr>
        <w:t>Leave campsites tidy – Take your rubbish home.</w:t>
      </w:r>
    </w:p>
    <w:p w:rsidR="00824113" w:rsidRPr="00824113" w:rsidRDefault="00824113" w:rsidP="00824113">
      <w:pPr>
        <w:pStyle w:val="Subtitle01"/>
        <w:rPr>
          <w:rFonts w:ascii="Calibri" w:hAnsi="Calibri"/>
        </w:rPr>
      </w:pPr>
      <w:r w:rsidRPr="00824113">
        <w:rPr>
          <w:rFonts w:ascii="Calibri" w:hAnsi="Calibri"/>
        </w:rPr>
        <w:t xml:space="preserve">Safety information </w:t>
      </w:r>
    </w:p>
    <w:p w:rsidR="00824113" w:rsidRPr="00824113" w:rsidRDefault="00824113" w:rsidP="00824113">
      <w:pPr>
        <w:pStyle w:val="BodyTextMain10pt"/>
        <w:numPr>
          <w:ilvl w:val="0"/>
          <w:numId w:val="2"/>
        </w:numPr>
        <w:tabs>
          <w:tab w:val="clear" w:pos="284"/>
        </w:tabs>
        <w:spacing w:line="240" w:lineRule="auto"/>
        <w:jc w:val="both"/>
        <w:rPr>
          <w:rFonts w:ascii="Calibri" w:hAnsi="Calibri" w:cs="Arial"/>
          <w:color w:val="auto"/>
        </w:rPr>
      </w:pPr>
      <w:r w:rsidRPr="00824113">
        <w:rPr>
          <w:rFonts w:ascii="Calibri" w:hAnsi="Calibri" w:cs="Arial"/>
          <w:color w:val="auto"/>
        </w:rPr>
        <w:t>On Code Red Fire Danger Rating days, parks and State Forest are closed to the public. Do not enter parks or forests on Code Red Days. If you are already there when a Code Red day is announced, you should leave the night before or early in the morning. For more information contact DELWP (see below).</w:t>
      </w:r>
    </w:p>
    <w:p w:rsidR="00824113" w:rsidRPr="00824113" w:rsidRDefault="00824113" w:rsidP="00824113">
      <w:pPr>
        <w:pStyle w:val="BodyTextMain10pt"/>
        <w:numPr>
          <w:ilvl w:val="0"/>
          <w:numId w:val="2"/>
        </w:numPr>
        <w:tabs>
          <w:tab w:val="clear" w:pos="284"/>
        </w:tabs>
        <w:spacing w:line="240" w:lineRule="auto"/>
        <w:jc w:val="both"/>
        <w:rPr>
          <w:rFonts w:ascii="Calibri" w:hAnsi="Calibri" w:cs="Arial"/>
          <w:color w:val="auto"/>
        </w:rPr>
      </w:pPr>
      <w:r w:rsidRPr="00824113">
        <w:rPr>
          <w:rFonts w:ascii="Calibri" w:hAnsi="Calibri" w:cs="Arial"/>
          <w:color w:val="auto"/>
        </w:rPr>
        <w:t>Be responsible for your own safety. Be aware of extreme weather events, carry your own first aid kit and let someone know before you go.</w:t>
      </w:r>
    </w:p>
    <w:p w:rsidR="00824113" w:rsidRPr="00824113" w:rsidRDefault="00824113" w:rsidP="00824113">
      <w:pPr>
        <w:pStyle w:val="Bullets10pt"/>
        <w:numPr>
          <w:ilvl w:val="0"/>
          <w:numId w:val="2"/>
        </w:numPr>
        <w:tabs>
          <w:tab w:val="clear" w:pos="284"/>
        </w:tabs>
        <w:spacing w:before="0"/>
        <w:jc w:val="both"/>
        <w:rPr>
          <w:rStyle w:val="BodyTextMain10ptChar"/>
          <w:rFonts w:ascii="Calibri" w:hAnsi="Calibri" w:cs="Arial"/>
          <w:color w:val="auto"/>
          <w:szCs w:val="20"/>
        </w:rPr>
      </w:pPr>
      <w:r w:rsidRPr="00824113">
        <w:rPr>
          <w:rFonts w:ascii="Calibri" w:hAnsi="Calibri" w:cs="Arial"/>
        </w:rPr>
        <w:t>This area is dotted with many mine shafts. Exercise care while walking through the bush and keep dogs on a leash.</w:t>
      </w:r>
    </w:p>
    <w:p w:rsidR="00824113" w:rsidRPr="00824113" w:rsidRDefault="00824113" w:rsidP="00824113">
      <w:pPr>
        <w:pStyle w:val="BodyTextMAIN10pt3ptbefore"/>
        <w:numPr>
          <w:ilvl w:val="0"/>
          <w:numId w:val="2"/>
        </w:numPr>
        <w:tabs>
          <w:tab w:val="clear" w:pos="284"/>
        </w:tabs>
        <w:spacing w:before="0"/>
        <w:jc w:val="both"/>
        <w:rPr>
          <w:rStyle w:val="BodyTextMain10ptChar"/>
          <w:rFonts w:ascii="Calibri" w:hAnsi="Calibri" w:cs="Arial"/>
          <w:szCs w:val="20"/>
        </w:rPr>
      </w:pPr>
      <w:r w:rsidRPr="00824113">
        <w:rPr>
          <w:rFonts w:ascii="Calibri" w:hAnsi="Calibri" w:cs="Arial"/>
        </w:rPr>
        <w:t>The forest was severely impacted by bushfire in 2009. Visitors are advised to avoid the forest in very wet or windy weather when hazards may be increased</w:t>
      </w:r>
      <w:r w:rsidRPr="00824113">
        <w:rPr>
          <w:rStyle w:val="BodyTextMain10ptChar"/>
          <w:rFonts w:ascii="Calibri" w:hAnsi="Calibri" w:cs="Arial"/>
          <w:szCs w:val="20"/>
        </w:rPr>
        <w:t>.</w:t>
      </w:r>
    </w:p>
    <w:p w:rsidR="00824113" w:rsidRPr="00824113" w:rsidRDefault="00824113" w:rsidP="00824113">
      <w:pPr>
        <w:pStyle w:val="Subtitle01"/>
        <w:rPr>
          <w:rFonts w:ascii="Calibri" w:hAnsi="Calibri"/>
        </w:rPr>
      </w:pPr>
      <w:r w:rsidRPr="00824113">
        <w:rPr>
          <w:rFonts w:ascii="Calibri" w:hAnsi="Calibri"/>
        </w:rPr>
        <w:t xml:space="preserve">Seasonal road closures </w:t>
      </w:r>
    </w:p>
    <w:p w:rsidR="00824113" w:rsidRPr="00824113" w:rsidRDefault="00824113" w:rsidP="00824113">
      <w:pPr>
        <w:pStyle w:val="BodyTextMAIN10pt3ptbefore"/>
        <w:spacing w:before="0"/>
        <w:jc w:val="both"/>
        <w:rPr>
          <w:rStyle w:val="BodyTextMain10ptChar"/>
          <w:rFonts w:ascii="Calibri" w:hAnsi="Calibri" w:cs="Arial"/>
          <w:szCs w:val="20"/>
        </w:rPr>
      </w:pPr>
      <w:r w:rsidRPr="00824113">
        <w:rPr>
          <w:rStyle w:val="BodyTextMain10ptChar"/>
          <w:rFonts w:ascii="Calibri" w:hAnsi="Calibri" w:cs="Arial"/>
          <w:szCs w:val="20"/>
        </w:rPr>
        <w:t>Some roads within the forest are seasonally closed each year from the Thursday after the Queen’s Birthday holiday through to the Thursday before Melbourne Cup. This is to protect track surfaces and the environment, and for public safety. Road closures may be extended beyond these dates, depending on weather conditions. These closures are</w:t>
      </w:r>
      <w:r w:rsidRPr="00824113">
        <w:rPr>
          <w:rFonts w:ascii="Calibri" w:hAnsi="Calibri" w:cs="Arial"/>
          <w:w w:val="110"/>
        </w:rPr>
        <w:t xml:space="preserve"> enforced by a </w:t>
      </w:r>
      <w:r w:rsidRPr="00824113">
        <w:rPr>
          <w:rStyle w:val="BodyTextMain10ptChar"/>
          <w:rFonts w:ascii="Calibri" w:hAnsi="Calibri" w:cs="Arial"/>
          <w:szCs w:val="20"/>
        </w:rPr>
        <w:t>gate. Contact DELWP for more information on road closures.</w:t>
      </w:r>
    </w:p>
    <w:p w:rsidR="00824113" w:rsidRPr="00824113" w:rsidRDefault="00824113" w:rsidP="00824113">
      <w:pPr>
        <w:pStyle w:val="Subtitle01"/>
        <w:rPr>
          <w:rFonts w:ascii="Calibri" w:hAnsi="Calibri"/>
        </w:rPr>
      </w:pPr>
      <w:r w:rsidRPr="00824113">
        <w:rPr>
          <w:rFonts w:ascii="Calibri" w:hAnsi="Calibri"/>
        </w:rPr>
        <w:t xml:space="preserve">For more information </w:t>
      </w:r>
    </w:p>
    <w:p w:rsidR="00546490" w:rsidRPr="00824113" w:rsidRDefault="00824113" w:rsidP="00824113">
      <w:pPr>
        <w:rPr>
          <w:rFonts w:ascii="Calibri" w:hAnsi="Calibri"/>
          <w:sz w:val="20"/>
          <w:szCs w:val="20"/>
        </w:rPr>
      </w:pPr>
      <w:r w:rsidRPr="00824113">
        <w:rPr>
          <w:rFonts w:ascii="Calibri" w:hAnsi="Calibri"/>
          <w:sz w:val="20"/>
          <w:szCs w:val="20"/>
        </w:rPr>
        <w:t xml:space="preserve">The Department of Environment, Land, Water &amp; Planning (DELWP) is responsible for managing Victoria's State Forest. For further information contact DELWP's Customer Service Centre </w:t>
      </w:r>
      <w:r w:rsidRPr="00824113">
        <w:rPr>
          <w:rFonts w:ascii="Calibri" w:hAnsi="Calibri"/>
          <w:sz w:val="20"/>
          <w:szCs w:val="20"/>
        </w:rPr>
        <w:sym w:font="Wingdings" w:char="F028"/>
      </w:r>
      <w:r w:rsidRPr="00824113">
        <w:rPr>
          <w:rFonts w:ascii="Calibri" w:hAnsi="Calibri"/>
          <w:sz w:val="20"/>
          <w:szCs w:val="20"/>
        </w:rPr>
        <w:t xml:space="preserve"> 136 186 (TTY: 1800 555 667) or visit DELWP’s website at </w:t>
      </w:r>
      <w:hyperlink r:id="rId8" w:history="1">
        <w:r w:rsidRPr="00824113">
          <w:rPr>
            <w:rStyle w:val="Hyperlink"/>
            <w:rFonts w:ascii="Calibri" w:hAnsi="Calibri" w:cs="Arial"/>
            <w:szCs w:val="20"/>
          </w:rPr>
          <w:t>http://www.delwp.vic.gov.au</w:t>
        </w:r>
      </w:hyperlink>
    </w:p>
    <w:sectPr w:rsidR="00546490" w:rsidRPr="008241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A86" w:rsidRDefault="00853A86" w:rsidP="001005B5">
      <w:r>
        <w:separator/>
      </w:r>
    </w:p>
  </w:endnote>
  <w:endnote w:type="continuationSeparator" w:id="0">
    <w:p w:rsidR="00853A86" w:rsidRDefault="00853A86" w:rsidP="00100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Bold">
    <w:altName w:val="Times New Roman"/>
    <w:panose1 w:val="00000000000000000000"/>
    <w:charset w:val="00"/>
    <w:family w:val="roman"/>
    <w:notTrueType/>
    <w:pitch w:val="default"/>
  </w:font>
  <w:font w:name="DINOT">
    <w:charset w:val="00"/>
    <w:family w:val="auto"/>
    <w:pitch w:val="variable"/>
    <w:sig w:usb0="800000AF" w:usb1="4000207B" w:usb2="00000000" w:usb3="00000000" w:csb0="0000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A86" w:rsidRDefault="00853A86" w:rsidP="001005B5">
      <w:r>
        <w:separator/>
      </w:r>
    </w:p>
  </w:footnote>
  <w:footnote w:type="continuationSeparator" w:id="0">
    <w:p w:rsidR="00853A86" w:rsidRDefault="00853A86" w:rsidP="001005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EB4E96"/>
    <w:multiLevelType w:val="singleLevel"/>
    <w:tmpl w:val="147898C0"/>
    <w:lvl w:ilvl="0">
      <w:start w:val="1"/>
      <w:numFmt w:val="bullet"/>
      <w:lvlText w:val=""/>
      <w:lvlJc w:val="left"/>
      <w:pPr>
        <w:tabs>
          <w:tab w:val="num" w:pos="360"/>
        </w:tabs>
        <w:ind w:left="360" w:hanging="360"/>
      </w:pPr>
      <w:rPr>
        <w:rFonts w:ascii="Symbol" w:hAnsi="Symbol" w:hint="default"/>
      </w:rPr>
    </w:lvl>
  </w:abstractNum>
  <w:abstractNum w:abstractNumId="1">
    <w:nsid w:val="605144F8"/>
    <w:multiLevelType w:val="multilevel"/>
    <w:tmpl w:val="907ED3E0"/>
    <w:lvl w:ilvl="0">
      <w:start w:val="1"/>
      <w:numFmt w:val="bullet"/>
      <w:pStyle w:val="Bullets10pt"/>
      <w:lvlText w:val=""/>
      <w:lvlJc w:val="left"/>
      <w:pPr>
        <w:tabs>
          <w:tab w:val="num" w:pos="0"/>
        </w:tabs>
        <w:ind w:left="283" w:hanging="283"/>
      </w:pPr>
      <w:rPr>
        <w:rFonts w:ascii="Symbol" w:hAnsi="Symbol" w:hint="default"/>
        <w:b w:val="0"/>
        <w:i w:val="0"/>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60B07AAD"/>
    <w:multiLevelType w:val="hybridMultilevel"/>
    <w:tmpl w:val="0A6088E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7376368C"/>
    <w:multiLevelType w:val="hybridMultilevel"/>
    <w:tmpl w:val="CFF0BC1E"/>
    <w:lvl w:ilvl="0" w:tplc="FFFFFFFF">
      <w:start w:val="1"/>
      <w:numFmt w:val="bullet"/>
      <w:lvlText w:val=""/>
      <w:lvlJc w:val="left"/>
      <w:pPr>
        <w:tabs>
          <w:tab w:val="num" w:pos="284"/>
        </w:tabs>
        <w:ind w:left="284" w:hanging="284"/>
      </w:pPr>
      <w:rPr>
        <w:rFonts w:ascii="Symbol" w:hAnsi="Symbol" w:hint="default"/>
        <w:b w:val="0"/>
        <w:i w:val="0"/>
        <w:sz w:val="20"/>
        <w:szCs w:val="20"/>
      </w:rPr>
    </w:lvl>
    <w:lvl w:ilvl="1" w:tplc="0C090001">
      <w:start w:val="1"/>
      <w:numFmt w:val="bullet"/>
      <w:lvlText w:val=""/>
      <w:lvlJc w:val="left"/>
      <w:pPr>
        <w:tabs>
          <w:tab w:val="num" w:pos="1440"/>
        </w:tabs>
        <w:ind w:left="1440" w:hanging="360"/>
      </w:pPr>
      <w:rPr>
        <w:rFonts w:ascii="Symbol" w:hAnsi="Symbol" w:hint="default"/>
        <w:b w:val="0"/>
        <w:i w:val="0"/>
        <w:sz w:val="20"/>
        <w:szCs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7EF71DA7"/>
    <w:multiLevelType w:val="hybridMultilevel"/>
    <w:tmpl w:val="B1A47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5B5"/>
    <w:rsid w:val="001005B5"/>
    <w:rsid w:val="00546490"/>
    <w:rsid w:val="005B1C47"/>
    <w:rsid w:val="00824113"/>
    <w:rsid w:val="00853A86"/>
    <w:rsid w:val="00D835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5B5"/>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5B1C47"/>
    <w:pPr>
      <w:keepNext/>
      <w:keepLines/>
      <w:widowControl w:val="0"/>
      <w:tabs>
        <w:tab w:val="left" w:pos="170"/>
        <w:tab w:val="left" w:pos="340"/>
        <w:tab w:val="left" w:pos="510"/>
        <w:tab w:val="left" w:pos="680"/>
      </w:tabs>
      <w:suppressAutoHyphens/>
      <w:autoSpaceDE w:val="0"/>
      <w:autoSpaceDN w:val="0"/>
      <w:adjustRightInd w:val="0"/>
      <w:spacing w:before="24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Introquote01">
    <w:name w:val="Intro/quote 01"/>
    <w:uiPriority w:val="99"/>
    <w:qFormat/>
    <w:rsid w:val="001005B5"/>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character" w:styleId="Hyperlink">
    <w:name w:val="Hyperlink"/>
    <w:rsid w:val="001005B5"/>
    <w:rPr>
      <w:color w:val="0000FF"/>
      <w:sz w:val="20"/>
      <w:szCs w:val="18"/>
      <w:u w:val="single"/>
    </w:rPr>
  </w:style>
  <w:style w:type="paragraph" w:customStyle="1" w:styleId="Bullets10pt">
    <w:name w:val="Bullets 10 pt"/>
    <w:basedOn w:val="Normal"/>
    <w:rsid w:val="001005B5"/>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1005B5"/>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1005B5"/>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1005B5"/>
    <w:rPr>
      <w:noProof w:val="0"/>
      <w:snapToGrid w:val="0"/>
      <w:color w:val="000000"/>
      <w:szCs w:val="24"/>
      <w:lang w:val="en-AU" w:eastAsia="en-US" w:bidi="ar-SA"/>
    </w:rPr>
  </w:style>
  <w:style w:type="character" w:styleId="Strong">
    <w:name w:val="Strong"/>
    <w:qFormat/>
    <w:rsid w:val="001005B5"/>
    <w:rPr>
      <w:b/>
      <w:bCs/>
    </w:rPr>
  </w:style>
  <w:style w:type="paragraph" w:styleId="ListParagraph">
    <w:name w:val="List Paragraph"/>
    <w:basedOn w:val="Normal"/>
    <w:uiPriority w:val="34"/>
    <w:qFormat/>
    <w:rsid w:val="001005B5"/>
    <w:pPr>
      <w:ind w:left="720"/>
      <w:contextualSpacing/>
    </w:pPr>
  </w:style>
  <w:style w:type="paragraph" w:styleId="Header">
    <w:name w:val="header"/>
    <w:basedOn w:val="Normal"/>
    <w:link w:val="HeaderChar"/>
    <w:uiPriority w:val="99"/>
    <w:unhideWhenUsed/>
    <w:rsid w:val="001005B5"/>
    <w:pPr>
      <w:tabs>
        <w:tab w:val="center" w:pos="4513"/>
        <w:tab w:val="right" w:pos="9026"/>
      </w:tabs>
    </w:pPr>
  </w:style>
  <w:style w:type="character" w:customStyle="1" w:styleId="HeaderChar">
    <w:name w:val="Header Char"/>
    <w:basedOn w:val="DefaultParagraphFont"/>
    <w:link w:val="Header"/>
    <w:uiPriority w:val="99"/>
    <w:rsid w:val="001005B5"/>
    <w:rPr>
      <w:rFonts w:eastAsiaTheme="minorEastAsia"/>
      <w:sz w:val="24"/>
      <w:szCs w:val="24"/>
      <w:lang w:val="en-US"/>
    </w:rPr>
  </w:style>
  <w:style w:type="paragraph" w:styleId="Footer">
    <w:name w:val="footer"/>
    <w:basedOn w:val="Normal"/>
    <w:link w:val="FooterChar"/>
    <w:uiPriority w:val="99"/>
    <w:unhideWhenUsed/>
    <w:rsid w:val="001005B5"/>
    <w:pPr>
      <w:tabs>
        <w:tab w:val="center" w:pos="4513"/>
        <w:tab w:val="right" w:pos="9026"/>
      </w:tabs>
    </w:pPr>
  </w:style>
  <w:style w:type="character" w:customStyle="1" w:styleId="FooterChar">
    <w:name w:val="Footer Char"/>
    <w:basedOn w:val="DefaultParagraphFont"/>
    <w:link w:val="Footer"/>
    <w:uiPriority w:val="99"/>
    <w:rsid w:val="001005B5"/>
    <w:rPr>
      <w:rFonts w:eastAsiaTheme="minorEastAsia"/>
      <w:sz w:val="24"/>
      <w:szCs w:val="24"/>
      <w:lang w:val="en-US"/>
    </w:rPr>
  </w:style>
  <w:style w:type="paragraph" w:customStyle="1" w:styleId="Bodycopy">
    <w:name w:val="Body copy"/>
    <w:basedOn w:val="Normal"/>
    <w:autoRedefine/>
    <w:uiPriority w:val="99"/>
    <w:qFormat/>
    <w:rsid w:val="00D83551"/>
    <w:pPr>
      <w:keepLines/>
      <w:tabs>
        <w:tab w:val="left" w:pos="170"/>
        <w:tab w:val="left" w:pos="340"/>
        <w:tab w:val="left" w:pos="510"/>
        <w:tab w:val="left" w:pos="680"/>
      </w:tabs>
      <w:suppressAutoHyphens/>
      <w:autoSpaceDE w:val="0"/>
      <w:autoSpaceDN w:val="0"/>
      <w:adjustRightInd w:val="0"/>
      <w:spacing w:line="220" w:lineRule="atLeast"/>
      <w:textAlignment w:val="center"/>
    </w:pPr>
    <w:rPr>
      <w:rFonts w:ascii="Calibri" w:hAnsi="Calibri" w:cs="Calibri"/>
      <w:color w:val="000000"/>
      <w:sz w:val="18"/>
      <w:szCs w:val="18"/>
      <w:lang w:val="en-GB"/>
    </w:rPr>
  </w:style>
  <w:style w:type="paragraph" w:styleId="BalloonText">
    <w:name w:val="Balloon Text"/>
    <w:basedOn w:val="Normal"/>
    <w:link w:val="BalloonTextChar"/>
    <w:uiPriority w:val="99"/>
    <w:semiHidden/>
    <w:unhideWhenUsed/>
    <w:rsid w:val="00853A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3A86"/>
    <w:rPr>
      <w:rFonts w:ascii="Lucida Grande" w:eastAsiaTheme="minorEastAsia" w:hAnsi="Lucida Grande" w:cs="Lucida Grande"/>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5B5"/>
    <w:pPr>
      <w:spacing w:after="0" w:line="240" w:lineRule="auto"/>
    </w:pPr>
    <w:rPr>
      <w:rFonts w:eastAsiaTheme="minorEastAsi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01">
    <w:name w:val="Subtitle 01"/>
    <w:autoRedefine/>
    <w:uiPriority w:val="99"/>
    <w:qFormat/>
    <w:rsid w:val="005B1C47"/>
    <w:pPr>
      <w:keepNext/>
      <w:keepLines/>
      <w:widowControl w:val="0"/>
      <w:tabs>
        <w:tab w:val="left" w:pos="170"/>
        <w:tab w:val="left" w:pos="340"/>
        <w:tab w:val="left" w:pos="510"/>
        <w:tab w:val="left" w:pos="680"/>
      </w:tabs>
      <w:suppressAutoHyphens/>
      <w:autoSpaceDE w:val="0"/>
      <w:autoSpaceDN w:val="0"/>
      <w:adjustRightInd w:val="0"/>
      <w:spacing w:before="240" w:after="0" w:line="290" w:lineRule="atLeast"/>
      <w:contextualSpacing/>
      <w:textAlignment w:val="center"/>
      <w:outlineLvl w:val="2"/>
    </w:pPr>
    <w:rPr>
      <w:rFonts w:asciiTheme="majorHAnsi" w:eastAsiaTheme="minorEastAsia" w:hAnsiTheme="majorHAnsi" w:cs="Calibri-Bold"/>
      <w:b/>
      <w:bCs/>
      <w:color w:val="0C6C86"/>
      <w:sz w:val="20"/>
      <w:szCs w:val="20"/>
      <w:lang w:val="en-GB"/>
    </w:rPr>
  </w:style>
  <w:style w:type="paragraph" w:customStyle="1" w:styleId="Introquote01">
    <w:name w:val="Intro/quote 01"/>
    <w:uiPriority w:val="99"/>
    <w:qFormat/>
    <w:rsid w:val="001005B5"/>
    <w:pPr>
      <w:keepNext/>
      <w:keepLines/>
      <w:widowControl w:val="0"/>
      <w:tabs>
        <w:tab w:val="left" w:pos="142"/>
        <w:tab w:val="left" w:pos="340"/>
        <w:tab w:val="left" w:pos="510"/>
        <w:tab w:val="left" w:pos="680"/>
      </w:tabs>
      <w:suppressAutoHyphens/>
      <w:autoSpaceDE w:val="0"/>
      <w:autoSpaceDN w:val="0"/>
      <w:adjustRightInd w:val="0"/>
      <w:spacing w:before="120" w:line="300" w:lineRule="atLeast"/>
      <w:contextualSpacing/>
      <w:textAlignment w:val="center"/>
    </w:pPr>
    <w:rPr>
      <w:rFonts w:asciiTheme="majorHAnsi" w:eastAsiaTheme="minorEastAsia" w:hAnsiTheme="majorHAnsi" w:cs="DINOT"/>
      <w:bCs/>
      <w:color w:val="0C6C86"/>
      <w:sz w:val="24"/>
      <w:szCs w:val="24"/>
      <w:lang w:val="en-GB"/>
    </w:rPr>
  </w:style>
  <w:style w:type="character" w:styleId="Hyperlink">
    <w:name w:val="Hyperlink"/>
    <w:rsid w:val="001005B5"/>
    <w:rPr>
      <w:color w:val="0000FF"/>
      <w:sz w:val="20"/>
      <w:szCs w:val="18"/>
      <w:u w:val="single"/>
    </w:rPr>
  </w:style>
  <w:style w:type="paragraph" w:customStyle="1" w:styleId="Bullets10pt">
    <w:name w:val="Bullets 10 pt"/>
    <w:basedOn w:val="Normal"/>
    <w:rsid w:val="001005B5"/>
    <w:pPr>
      <w:numPr>
        <w:numId w:val="1"/>
      </w:numPr>
      <w:tabs>
        <w:tab w:val="left" w:pos="284"/>
      </w:tabs>
      <w:spacing w:before="60"/>
    </w:pPr>
    <w:rPr>
      <w:rFonts w:ascii="Times New Roman" w:eastAsia="Times New Roman" w:hAnsi="Times New Roman" w:cs="Times New Roman"/>
      <w:color w:val="000000"/>
      <w:sz w:val="20"/>
      <w:szCs w:val="20"/>
      <w:lang w:eastAsia="en-AU"/>
    </w:rPr>
  </w:style>
  <w:style w:type="paragraph" w:customStyle="1" w:styleId="BodyTextMAIN10pt3ptbefore">
    <w:name w:val="Body Text MAIN 10 pt+3pt before"/>
    <w:basedOn w:val="Normal"/>
    <w:rsid w:val="001005B5"/>
    <w:pPr>
      <w:spacing w:before="60"/>
    </w:pPr>
    <w:rPr>
      <w:rFonts w:ascii="Times New Roman" w:eastAsia="Times New Roman" w:hAnsi="Times New Roman" w:cs="Times New Roman"/>
      <w:sz w:val="20"/>
      <w:szCs w:val="20"/>
      <w:lang w:eastAsia="en-AU"/>
    </w:rPr>
  </w:style>
  <w:style w:type="paragraph" w:customStyle="1" w:styleId="BodyTextMain10pt">
    <w:name w:val="Body Text Main 10 pt"/>
    <w:basedOn w:val="Normal"/>
    <w:rsid w:val="001005B5"/>
    <w:pPr>
      <w:spacing w:line="200" w:lineRule="exact"/>
    </w:pPr>
    <w:rPr>
      <w:rFonts w:ascii="Times New Roman" w:eastAsia="Times New Roman" w:hAnsi="Times New Roman" w:cs="Times New Roman"/>
      <w:snapToGrid w:val="0"/>
      <w:color w:val="000000"/>
      <w:sz w:val="20"/>
      <w:szCs w:val="20"/>
      <w:lang w:val="en-AU" w:eastAsia="en-AU"/>
    </w:rPr>
  </w:style>
  <w:style w:type="character" w:customStyle="1" w:styleId="BodyTextMain10ptChar">
    <w:name w:val="Body Text Main 10 pt Char"/>
    <w:rsid w:val="001005B5"/>
    <w:rPr>
      <w:noProof w:val="0"/>
      <w:snapToGrid w:val="0"/>
      <w:color w:val="000000"/>
      <w:szCs w:val="24"/>
      <w:lang w:val="en-AU" w:eastAsia="en-US" w:bidi="ar-SA"/>
    </w:rPr>
  </w:style>
  <w:style w:type="character" w:styleId="Strong">
    <w:name w:val="Strong"/>
    <w:qFormat/>
    <w:rsid w:val="001005B5"/>
    <w:rPr>
      <w:b/>
      <w:bCs/>
    </w:rPr>
  </w:style>
  <w:style w:type="paragraph" w:styleId="ListParagraph">
    <w:name w:val="List Paragraph"/>
    <w:basedOn w:val="Normal"/>
    <w:uiPriority w:val="34"/>
    <w:qFormat/>
    <w:rsid w:val="001005B5"/>
    <w:pPr>
      <w:ind w:left="720"/>
      <w:contextualSpacing/>
    </w:pPr>
  </w:style>
  <w:style w:type="paragraph" w:styleId="Header">
    <w:name w:val="header"/>
    <w:basedOn w:val="Normal"/>
    <w:link w:val="HeaderChar"/>
    <w:uiPriority w:val="99"/>
    <w:unhideWhenUsed/>
    <w:rsid w:val="001005B5"/>
    <w:pPr>
      <w:tabs>
        <w:tab w:val="center" w:pos="4513"/>
        <w:tab w:val="right" w:pos="9026"/>
      </w:tabs>
    </w:pPr>
  </w:style>
  <w:style w:type="character" w:customStyle="1" w:styleId="HeaderChar">
    <w:name w:val="Header Char"/>
    <w:basedOn w:val="DefaultParagraphFont"/>
    <w:link w:val="Header"/>
    <w:uiPriority w:val="99"/>
    <w:rsid w:val="001005B5"/>
    <w:rPr>
      <w:rFonts w:eastAsiaTheme="minorEastAsia"/>
      <w:sz w:val="24"/>
      <w:szCs w:val="24"/>
      <w:lang w:val="en-US"/>
    </w:rPr>
  </w:style>
  <w:style w:type="paragraph" w:styleId="Footer">
    <w:name w:val="footer"/>
    <w:basedOn w:val="Normal"/>
    <w:link w:val="FooterChar"/>
    <w:uiPriority w:val="99"/>
    <w:unhideWhenUsed/>
    <w:rsid w:val="001005B5"/>
    <w:pPr>
      <w:tabs>
        <w:tab w:val="center" w:pos="4513"/>
        <w:tab w:val="right" w:pos="9026"/>
      </w:tabs>
    </w:pPr>
  </w:style>
  <w:style w:type="character" w:customStyle="1" w:styleId="FooterChar">
    <w:name w:val="Footer Char"/>
    <w:basedOn w:val="DefaultParagraphFont"/>
    <w:link w:val="Footer"/>
    <w:uiPriority w:val="99"/>
    <w:rsid w:val="001005B5"/>
    <w:rPr>
      <w:rFonts w:eastAsiaTheme="minorEastAsia"/>
      <w:sz w:val="24"/>
      <w:szCs w:val="24"/>
      <w:lang w:val="en-US"/>
    </w:rPr>
  </w:style>
  <w:style w:type="paragraph" w:customStyle="1" w:styleId="Bodycopy">
    <w:name w:val="Body copy"/>
    <w:basedOn w:val="Normal"/>
    <w:autoRedefine/>
    <w:uiPriority w:val="99"/>
    <w:qFormat/>
    <w:rsid w:val="00D83551"/>
    <w:pPr>
      <w:keepLines/>
      <w:tabs>
        <w:tab w:val="left" w:pos="170"/>
        <w:tab w:val="left" w:pos="340"/>
        <w:tab w:val="left" w:pos="510"/>
        <w:tab w:val="left" w:pos="680"/>
      </w:tabs>
      <w:suppressAutoHyphens/>
      <w:autoSpaceDE w:val="0"/>
      <w:autoSpaceDN w:val="0"/>
      <w:adjustRightInd w:val="0"/>
      <w:spacing w:line="220" w:lineRule="atLeast"/>
      <w:textAlignment w:val="center"/>
    </w:pPr>
    <w:rPr>
      <w:rFonts w:ascii="Calibri" w:hAnsi="Calibri" w:cs="Calibri"/>
      <w:color w:val="000000"/>
      <w:sz w:val="18"/>
      <w:szCs w:val="18"/>
      <w:lang w:val="en-GB"/>
    </w:rPr>
  </w:style>
  <w:style w:type="paragraph" w:styleId="BalloonText">
    <w:name w:val="Balloon Text"/>
    <w:basedOn w:val="Normal"/>
    <w:link w:val="BalloonTextChar"/>
    <w:uiPriority w:val="99"/>
    <w:semiHidden/>
    <w:unhideWhenUsed/>
    <w:rsid w:val="00853A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3A86"/>
    <w:rPr>
      <w:rFonts w:ascii="Lucida Grande" w:eastAsiaTheme="minorEastAsia"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wp.vic.gov.au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1114</Words>
  <Characters>5572</Characters>
  <Application>Microsoft Office Word</Application>
  <DocSecurity>4</DocSecurity>
  <Lines>163</Lines>
  <Paragraphs>60</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Wadsworth</dc:creator>
  <cp:lastModifiedBy>Richard Wadsworth</cp:lastModifiedBy>
  <cp:revision>2</cp:revision>
  <dcterms:created xsi:type="dcterms:W3CDTF">2016-11-08T03:57:00Z</dcterms:created>
  <dcterms:modified xsi:type="dcterms:W3CDTF">2016-11-08T03:57:00Z</dcterms:modified>
</cp:coreProperties>
</file>